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E53C78" w:rsidRDefault="00170F32" w:rsidP="00E53C78">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d833eb-8e27-4aab-905c-e163a3ad793a_0" style="width:568.5pt;height:369pt">
            <v:imagedata r:id="rId9" o:title=""/>
          </v:shape>
        </w:pict>
      </w:r>
      <w:bookmarkEnd w:id="0"/>
    </w:p>
    <w:p w:rsidR="00004DF2" w:rsidRDefault="002C415E" w:rsidP="00004DF2">
      <w:pPr>
        <w:tabs>
          <w:tab w:val="left" w:pos="3969"/>
        </w:tabs>
      </w:pPr>
      <w:r w:rsidRPr="00736294">
        <w:t xml:space="preserve">Delegations will find </w:t>
      </w:r>
      <w:r>
        <w:t xml:space="preserve">attached </w:t>
      </w:r>
      <w:r w:rsidRPr="00736294">
        <w:t xml:space="preserve">updated information about the state of implementation </w:t>
      </w:r>
      <w:r w:rsidR="00D53096">
        <w:t xml:space="preserve">of </w:t>
      </w:r>
      <w:r w:rsidRPr="00736294">
        <w:t>Framework Decision 200</w:t>
      </w:r>
      <w:r>
        <w:t>6</w:t>
      </w:r>
      <w:r w:rsidRPr="00736294">
        <w:t>/</w:t>
      </w:r>
      <w:r>
        <w:t>783</w:t>
      </w:r>
      <w:r w:rsidRPr="00736294">
        <w:t xml:space="preserve">/JHA of </w:t>
      </w:r>
      <w:r>
        <w:t>6 October 2006 on the application of the principle of mutual recognition to confiscation orders</w:t>
      </w:r>
      <w:r w:rsidR="00C70009">
        <w:t xml:space="preserve"> (OJ L 328, 2</w:t>
      </w:r>
      <w:r w:rsidR="00D50081">
        <w:t>4</w:t>
      </w:r>
      <w:r w:rsidR="00C70009">
        <w:t>.11.2006, p. 59)</w:t>
      </w:r>
      <w:r>
        <w:t>.</w:t>
      </w:r>
      <w:r w:rsidR="00D53096">
        <w:t xml:space="preserve"> </w:t>
      </w:r>
    </w:p>
    <w:p w:rsidR="00004DF2" w:rsidRDefault="00D53096" w:rsidP="00004DF2">
      <w:pPr>
        <w:tabs>
          <w:tab w:val="left" w:pos="3969"/>
        </w:tabs>
      </w:pPr>
      <w:r>
        <w:t>In accordance with Article 22, the Framework Decision should have been implemented by 24 November 2008.</w:t>
      </w:r>
      <w:r w:rsidRPr="00D53096">
        <w:t xml:space="preserve"> </w:t>
      </w:r>
      <w:r w:rsidR="00004DF2">
        <w:t xml:space="preserve">So far, </w:t>
      </w:r>
      <w:r>
        <w:t xml:space="preserve">23 Member States have notified </w:t>
      </w:r>
      <w:r w:rsidR="00004DF2">
        <w:t xml:space="preserve"> that they have implemented the Framework decision. </w:t>
      </w:r>
    </w:p>
    <w:p w:rsidR="002C415E" w:rsidRDefault="00004DF2" w:rsidP="00004DF2">
      <w:pPr>
        <w:tabs>
          <w:tab w:val="left" w:pos="3969"/>
        </w:tabs>
      </w:pPr>
      <w:r>
        <w:t xml:space="preserve">This information is </w:t>
      </w:r>
      <w:r w:rsidRPr="00A7014B">
        <w:t>based on notifications</w:t>
      </w:r>
      <w:r>
        <w:t xml:space="preserve"> communicated to the General Secretariat </w:t>
      </w:r>
      <w:r w:rsidRPr="00A7014B">
        <w:t xml:space="preserve">by Member States, to which reference is made in the last column. </w:t>
      </w:r>
      <w:r>
        <w:t>It is up-to-date as at 3 June 2015.</w:t>
      </w:r>
    </w:p>
    <w:p w:rsidR="002C266D" w:rsidRDefault="00C70009" w:rsidP="002C266D">
      <w:pPr>
        <w:tabs>
          <w:tab w:val="left" w:pos="3969"/>
        </w:tabs>
      </w:pPr>
      <w:r>
        <w:t>Delegations are invited to communicate any further information in relation to the implementation status of the F</w:t>
      </w:r>
      <w:r w:rsidR="00D50081">
        <w:t xml:space="preserve">ramework </w:t>
      </w:r>
      <w:r>
        <w:t>D</w:t>
      </w:r>
      <w:r w:rsidR="00D50081">
        <w:t>ecision</w:t>
      </w:r>
      <w:r>
        <w:t xml:space="preserve"> to secretariat.criminal-law@consil</w:t>
      </w:r>
      <w:r w:rsidR="002C266D">
        <w:t>ium.europa.eu</w:t>
      </w:r>
    </w:p>
    <w:p w:rsidR="00D04202" w:rsidRDefault="00D04202" w:rsidP="00D04202">
      <w:pPr>
        <w:tabs>
          <w:tab w:val="left" w:pos="3969"/>
        </w:tabs>
      </w:pPr>
    </w:p>
    <w:p w:rsidR="00D04202" w:rsidRPr="00D3163B" w:rsidRDefault="00D04202" w:rsidP="00D04202"/>
    <w:p w:rsidR="00D04202" w:rsidRDefault="00F1626D" w:rsidP="00D04202">
      <w:pPr>
        <w:jc w:val="center"/>
      </w:pPr>
      <w:r>
        <w:t>____________________</w:t>
      </w:r>
    </w:p>
    <w:p w:rsidR="00D04202" w:rsidRDefault="00D04202" w:rsidP="00D04202">
      <w:pPr>
        <w:sectPr w:rsidR="00D04202" w:rsidSect="00E53C78">
          <w:footerReference w:type="default" r:id="rId10"/>
          <w:footerReference w:type="first" r:id="rId11"/>
          <w:pgSz w:w="11907" w:h="16840" w:code="9"/>
          <w:pgMar w:top="624" w:right="1134" w:bottom="1134" w:left="1134" w:header="567" w:footer="567" w:gutter="0"/>
          <w:pgNumType w:start="1"/>
          <w:cols w:space="708"/>
          <w:titlePg/>
          <w:docGrid w:linePitch="360"/>
        </w:sectPr>
      </w:pPr>
    </w:p>
    <w:p w:rsidR="00D76F07" w:rsidRPr="00D76F07" w:rsidRDefault="00D04202" w:rsidP="00D76F07">
      <w:pPr>
        <w:pStyle w:val="Annex"/>
      </w:pPr>
      <w:r w:rsidRPr="00D04202">
        <w:lastRenderedPageBreak/>
        <w:t>ANNEX</w:t>
      </w:r>
    </w:p>
    <w:p w:rsidR="008A1DBD" w:rsidRDefault="008A1DBD" w:rsidP="008A1DBD">
      <w:pPr>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103"/>
        <w:gridCol w:w="3664"/>
        <w:gridCol w:w="2620"/>
        <w:gridCol w:w="2215"/>
        <w:gridCol w:w="2212"/>
      </w:tblGrid>
      <w:tr w:rsidR="009A458F" w:rsidRPr="000078F5" w:rsidTr="009A458F">
        <w:trPr>
          <w:tblHeader/>
        </w:trPr>
        <w:tc>
          <w:tcPr>
            <w:tcW w:w="5000" w:type="pct"/>
            <w:gridSpan w:val="6"/>
          </w:tcPr>
          <w:p w:rsidR="009A458F" w:rsidRPr="009A458F" w:rsidRDefault="009A458F" w:rsidP="00B42700">
            <w:pPr>
              <w:spacing w:line="240" w:lineRule="auto"/>
              <w:jc w:val="center"/>
              <w:rPr>
                <w:b/>
                <w:bCs/>
                <w:sz w:val="28"/>
                <w:szCs w:val="28"/>
              </w:rPr>
            </w:pPr>
            <w:r w:rsidRPr="009A458F">
              <w:rPr>
                <w:b/>
                <w:bCs/>
                <w:sz w:val="28"/>
                <w:szCs w:val="28"/>
              </w:rPr>
              <w:t>Framework Decision 2006/783/JHA of 6 October 2006 on the application of the principle of mutual recognition to confiscation orders</w:t>
            </w:r>
          </w:p>
        </w:tc>
      </w:tr>
      <w:tr w:rsidR="00C70009" w:rsidRPr="000078F5" w:rsidTr="009A458F">
        <w:trPr>
          <w:tblHeader/>
        </w:trPr>
        <w:tc>
          <w:tcPr>
            <w:tcW w:w="667" w:type="pct"/>
          </w:tcPr>
          <w:p w:rsidR="00C70009" w:rsidRPr="00862619" w:rsidRDefault="00C70009" w:rsidP="000C635F">
            <w:pPr>
              <w:rPr>
                <w:b/>
                <w:bCs/>
              </w:rPr>
            </w:pPr>
            <w:r>
              <w:rPr>
                <w:b/>
                <w:bCs/>
              </w:rPr>
              <w:t>Member State</w:t>
            </w:r>
          </w:p>
        </w:tc>
        <w:tc>
          <w:tcPr>
            <w:tcW w:w="711"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123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886"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749"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749" w:type="pct"/>
          </w:tcPr>
          <w:p w:rsidR="00C70009" w:rsidRDefault="00B42700" w:rsidP="00B42700">
            <w:pPr>
              <w:spacing w:line="240" w:lineRule="auto"/>
              <w:jc w:val="center"/>
              <w:rPr>
                <w:b/>
              </w:rPr>
            </w:pPr>
            <w:r>
              <w:rPr>
                <w:b/>
              </w:rPr>
              <w:t>Notification</w:t>
            </w:r>
            <w:r w:rsidR="00C70009" w:rsidRPr="000078F5">
              <w:rPr>
                <w:b/>
              </w:rPr>
              <w:t xml:space="preserve"> re Article 22(2) </w:t>
            </w:r>
          </w:p>
          <w:p w:rsidR="00B42700" w:rsidRPr="000078F5" w:rsidRDefault="00B42700" w:rsidP="00B42700">
            <w:pPr>
              <w:spacing w:line="240" w:lineRule="auto"/>
              <w:jc w:val="center"/>
              <w:rPr>
                <w:b/>
              </w:rPr>
            </w:pPr>
            <w:r>
              <w:rPr>
                <w:b/>
              </w:rPr>
              <w:t>(Implementation)</w:t>
            </w:r>
          </w:p>
        </w:tc>
      </w:tr>
      <w:tr w:rsidR="00C70009" w:rsidRPr="000078F5" w:rsidTr="009A458F">
        <w:tc>
          <w:tcPr>
            <w:tcW w:w="667" w:type="pct"/>
          </w:tcPr>
          <w:p w:rsidR="00C70009" w:rsidRPr="00897848" w:rsidRDefault="00C70009" w:rsidP="000C635F">
            <w:r w:rsidRPr="00897848">
              <w:t>BELGIUM</w:t>
            </w:r>
          </w:p>
        </w:tc>
        <w:tc>
          <w:tcPr>
            <w:tcW w:w="711" w:type="pct"/>
          </w:tcPr>
          <w:p w:rsidR="00C70009" w:rsidRPr="00301DCE" w:rsidRDefault="00C70009" w:rsidP="000C635F">
            <w:pPr>
              <w:spacing w:line="240" w:lineRule="auto"/>
            </w:pPr>
            <w:r w:rsidRPr="00301DCE">
              <w:t>Implemented</w:t>
            </w:r>
          </w:p>
          <w:p w:rsidR="00C70009" w:rsidRPr="00301DCE" w:rsidRDefault="00C70009" w:rsidP="000C635F">
            <w:pPr>
              <w:spacing w:line="240" w:lineRule="auto"/>
            </w:pPr>
          </w:p>
          <w:p w:rsidR="00C70009" w:rsidRPr="00301DCE" w:rsidRDefault="00C70009" w:rsidP="000C635F">
            <w:pPr>
              <w:spacing w:line="240" w:lineRule="auto"/>
            </w:pPr>
            <w:r w:rsidRPr="00301DCE">
              <w:t>Entry into force of legislation :</w:t>
            </w:r>
          </w:p>
          <w:p w:rsidR="00C70009" w:rsidRDefault="00C70009" w:rsidP="000C635F">
            <w:pPr>
              <w:spacing w:line="240" w:lineRule="auto"/>
            </w:pPr>
            <w:r w:rsidRPr="00301DCE">
              <w:t>14 April 2012</w:t>
            </w:r>
          </w:p>
        </w:tc>
        <w:tc>
          <w:tcPr>
            <w:tcW w:w="1239" w:type="pct"/>
          </w:tcPr>
          <w:p w:rsidR="00C70009" w:rsidRPr="00897848" w:rsidRDefault="00C70009" w:rsidP="000C635F">
            <w:pPr>
              <w:spacing w:line="240" w:lineRule="auto"/>
            </w:pPr>
            <w:r w:rsidRPr="00897848">
              <w:t>FEDERAL PUBLIC SERVICE JUSTICE</w:t>
            </w:r>
          </w:p>
          <w:p w:rsidR="00C70009" w:rsidRPr="00897848" w:rsidRDefault="00C70009" w:rsidP="000C635F">
            <w:pPr>
              <w:spacing w:line="240" w:lineRule="auto"/>
            </w:pPr>
            <w:r w:rsidRPr="00897848">
              <w:t>Directorate General for Legislation, Fundamental Rights and Freedoms</w:t>
            </w:r>
          </w:p>
          <w:p w:rsidR="00C70009" w:rsidRPr="00897848" w:rsidRDefault="00C70009" w:rsidP="000C635F">
            <w:pPr>
              <w:spacing w:line="240" w:lineRule="auto"/>
            </w:pPr>
            <w:r w:rsidRPr="00897848">
              <w:t>Central Authority for International Cooperation in Criminal Matters</w:t>
            </w:r>
          </w:p>
          <w:p w:rsidR="00C70009" w:rsidRPr="00897848" w:rsidRDefault="00C70009" w:rsidP="00AD3E63">
            <w:pPr>
              <w:spacing w:before="0" w:after="0" w:line="240" w:lineRule="auto"/>
              <w:rPr>
                <w:lang w:val="nl-NL"/>
              </w:rPr>
            </w:pPr>
            <w:r w:rsidRPr="00897848">
              <w:rPr>
                <w:lang w:val="nl-NL"/>
              </w:rPr>
              <w:t>Boulevard de Waterloo 115</w:t>
            </w:r>
          </w:p>
          <w:p w:rsidR="00C70009" w:rsidRPr="00897848" w:rsidRDefault="00C70009" w:rsidP="00AD3E63">
            <w:pPr>
              <w:spacing w:before="0" w:after="0" w:line="240" w:lineRule="auto"/>
              <w:rPr>
                <w:lang w:val="nl-NL"/>
              </w:rPr>
            </w:pPr>
            <w:r w:rsidRPr="00897848">
              <w:rPr>
                <w:lang w:val="nl-NL"/>
              </w:rPr>
              <w:t>1000 Brussels</w:t>
            </w:r>
          </w:p>
          <w:p w:rsidR="00C70009" w:rsidRPr="00897848" w:rsidRDefault="00C70009" w:rsidP="00AD3E63">
            <w:pPr>
              <w:spacing w:before="0" w:after="0" w:line="240" w:lineRule="auto"/>
              <w:rPr>
                <w:lang w:val="nl-NL"/>
              </w:rPr>
            </w:pPr>
            <w:r w:rsidRPr="00897848">
              <w:rPr>
                <w:lang w:val="nl-NL"/>
              </w:rPr>
              <w:t>Belgium</w:t>
            </w:r>
          </w:p>
          <w:p w:rsidR="00C70009" w:rsidRPr="00897848" w:rsidRDefault="00C70009" w:rsidP="00AD3E63">
            <w:pPr>
              <w:spacing w:before="0" w:after="0" w:line="240" w:lineRule="auto"/>
              <w:rPr>
                <w:lang w:val="nl-NL"/>
              </w:rPr>
            </w:pPr>
            <w:r w:rsidRPr="00897848">
              <w:rPr>
                <w:lang w:val="nl-NL"/>
              </w:rPr>
              <w:t>Fax: +32 2 542 71 99</w:t>
            </w:r>
          </w:p>
          <w:p w:rsidR="00C70009" w:rsidRPr="00897848" w:rsidRDefault="00C70009" w:rsidP="00AD3E63">
            <w:pPr>
              <w:spacing w:before="0" w:after="0" w:line="240" w:lineRule="auto"/>
              <w:rPr>
                <w:lang w:val="fr-BE"/>
              </w:rPr>
            </w:pPr>
            <w:r w:rsidRPr="00897848">
              <w:rPr>
                <w:lang w:val="fr-BE"/>
              </w:rPr>
              <w:t>Email: centralauthority.iccm@just.</w:t>
            </w:r>
          </w:p>
          <w:p w:rsidR="00C70009" w:rsidRPr="00897848" w:rsidRDefault="00C70009" w:rsidP="00AD3E63">
            <w:pPr>
              <w:spacing w:before="0" w:after="0" w:line="240" w:lineRule="auto"/>
              <w:rPr>
                <w:lang w:val="fr-BE"/>
              </w:rPr>
            </w:pPr>
            <w:r w:rsidRPr="00897848">
              <w:rPr>
                <w:lang w:val="fr-BE"/>
              </w:rPr>
              <w:t>fgov.be</w:t>
            </w:r>
          </w:p>
          <w:p w:rsidR="00C70009" w:rsidRPr="00604464" w:rsidRDefault="00604464" w:rsidP="000C635F">
            <w:pPr>
              <w:spacing w:line="240" w:lineRule="auto"/>
              <w:rPr>
                <w:u w:val="single"/>
              </w:rPr>
            </w:pPr>
            <w:r w:rsidRPr="00604464">
              <w:t>(see doc.</w:t>
            </w:r>
            <w:r w:rsidR="00C70009" w:rsidRPr="00604464">
              <w:t>15548/13 COPEN 176 EUROJUST 99 EJN 68)</w:t>
            </w:r>
          </w:p>
        </w:tc>
        <w:tc>
          <w:tcPr>
            <w:tcW w:w="886" w:type="pct"/>
          </w:tcPr>
          <w:p w:rsidR="00C70009" w:rsidRPr="00301DCE" w:rsidRDefault="00C70009" w:rsidP="000C635F">
            <w:pPr>
              <w:spacing w:line="240" w:lineRule="auto"/>
            </w:pPr>
            <w:r w:rsidRPr="00301DCE">
              <w:t>will not recognise/execute</w:t>
            </w:r>
          </w:p>
          <w:p w:rsidR="00C70009" w:rsidRDefault="00C70009" w:rsidP="000C635F">
            <w:pPr>
              <w:spacing w:line="240" w:lineRule="auto"/>
            </w:pPr>
            <w:r w:rsidRPr="00301DCE">
              <w:t xml:space="preserve">(see </w:t>
            </w:r>
            <w:r w:rsidR="00604464">
              <w:t xml:space="preserve">doc. </w:t>
            </w:r>
            <w:r w:rsidRPr="00301DCE">
              <w:t>8994/12 COPEN 93 EUROJUST 37 EJN 30)</w:t>
            </w:r>
          </w:p>
        </w:tc>
        <w:tc>
          <w:tcPr>
            <w:tcW w:w="749" w:type="pct"/>
          </w:tcPr>
          <w:p w:rsidR="00C70009" w:rsidRPr="00301DCE" w:rsidRDefault="00C70009" w:rsidP="000C635F">
            <w:pPr>
              <w:spacing w:line="240" w:lineRule="auto"/>
            </w:pPr>
            <w:r w:rsidRPr="00301DCE">
              <w:t>Dutch, French, German or English</w:t>
            </w:r>
          </w:p>
        </w:tc>
        <w:tc>
          <w:tcPr>
            <w:tcW w:w="749" w:type="pct"/>
          </w:tcPr>
          <w:p w:rsidR="00C70009" w:rsidRPr="00301DCE" w:rsidRDefault="00217FBC" w:rsidP="00217FBC">
            <w:pPr>
              <w:spacing w:line="240" w:lineRule="auto"/>
            </w:pPr>
            <w:r w:rsidRPr="00301DCE">
              <w:t xml:space="preserve">(see </w:t>
            </w:r>
            <w:r w:rsidR="00604464">
              <w:t xml:space="preserve">doc. </w:t>
            </w:r>
            <w:r w:rsidRPr="00301DCE">
              <w:t>8994/12 COPEN 93 EUROJUST 37 EJN 30)</w:t>
            </w:r>
          </w:p>
        </w:tc>
      </w:tr>
      <w:tr w:rsidR="00C70009" w:rsidRPr="000078F5" w:rsidTr="009A458F">
        <w:tc>
          <w:tcPr>
            <w:tcW w:w="667" w:type="pct"/>
            <w:tcBorders>
              <w:bottom w:val="single" w:sz="4" w:space="0" w:color="auto"/>
            </w:tcBorders>
          </w:tcPr>
          <w:p w:rsidR="00C70009" w:rsidRPr="00591D7B" w:rsidRDefault="00C70009" w:rsidP="000C635F">
            <w:r w:rsidRPr="00591D7B">
              <w:lastRenderedPageBreak/>
              <w:t>BULGARIA</w:t>
            </w:r>
          </w:p>
        </w:tc>
        <w:tc>
          <w:tcPr>
            <w:tcW w:w="711" w:type="pct"/>
            <w:tcBorders>
              <w:bottom w:val="single" w:sz="4" w:space="0" w:color="auto"/>
            </w:tcBorders>
          </w:tcPr>
          <w:p w:rsidR="00C70009" w:rsidRDefault="00C70009" w:rsidP="000C635F">
            <w:pPr>
              <w:spacing w:line="240" w:lineRule="auto"/>
            </w:pPr>
            <w:r>
              <w:t>Implemented</w:t>
            </w:r>
          </w:p>
          <w:p w:rsidR="00C70009" w:rsidRDefault="00C70009" w:rsidP="000C635F">
            <w:pPr>
              <w:spacing w:line="240" w:lineRule="auto"/>
            </w:pPr>
            <w:r>
              <w:t>Entry into force of legislation :</w:t>
            </w:r>
          </w:p>
          <w:p w:rsidR="00C70009" w:rsidRDefault="00C70009" w:rsidP="000C635F">
            <w:pPr>
              <w:spacing w:line="240" w:lineRule="auto"/>
            </w:pPr>
            <w:r>
              <w:t xml:space="preserve">27 February 2010 </w:t>
            </w:r>
          </w:p>
        </w:tc>
        <w:tc>
          <w:tcPr>
            <w:tcW w:w="1239" w:type="pct"/>
            <w:tcBorders>
              <w:bottom w:val="single" w:sz="4" w:space="0" w:color="auto"/>
            </w:tcBorders>
          </w:tcPr>
          <w:p w:rsidR="00C70009" w:rsidRPr="00ED16B6" w:rsidRDefault="00C70009" w:rsidP="000C635F">
            <w:pPr>
              <w:spacing w:line="240" w:lineRule="auto"/>
              <w:rPr>
                <w:b/>
              </w:rPr>
            </w:pPr>
            <w:r w:rsidRPr="00ED16B6">
              <w:rPr>
                <w:b/>
              </w:rPr>
              <w:t>1/</w:t>
            </w:r>
            <w:r w:rsidRPr="00ED16B6">
              <w:t xml:space="preserve"> </w:t>
            </w:r>
            <w:r w:rsidRPr="00ED16B6">
              <w:rPr>
                <w:b/>
              </w:rPr>
              <w:t>When Bulgaria is executing state:</w:t>
            </w:r>
          </w:p>
          <w:p w:rsidR="00C70009" w:rsidRPr="00A57FD5" w:rsidRDefault="00C70009" w:rsidP="000C635F">
            <w:pPr>
              <w:spacing w:line="240" w:lineRule="auto"/>
            </w:pPr>
            <w:r>
              <w:t>The district court (for Sofia district – the Sofia City court) within whose district</w:t>
            </w:r>
            <w:r w:rsidRPr="00A07C94">
              <w:t xml:space="preserve"> </w:t>
            </w:r>
            <w:r>
              <w:t xml:space="preserve">the person against whom/which the decision has been issued: a) is domiciled or permanently resident, and </w:t>
            </w:r>
            <w:r w:rsidRPr="00A57FD5">
              <w:t>in the case of a legal person, has its registered seat</w:t>
            </w:r>
            <w:r>
              <w:t>, registered office or address for correspondence; b) owns property, or c) receives income</w:t>
            </w:r>
            <w:r w:rsidRPr="00A57FD5">
              <w:t>.</w:t>
            </w:r>
          </w:p>
          <w:p w:rsidR="00C70009" w:rsidRPr="00ED16B6" w:rsidRDefault="00C70009" w:rsidP="000C635F">
            <w:pPr>
              <w:spacing w:line="240" w:lineRule="auto"/>
              <w:rPr>
                <w:b/>
              </w:rPr>
            </w:pPr>
            <w:r w:rsidRPr="00ED16B6">
              <w:rPr>
                <w:b/>
              </w:rPr>
              <w:t>2/ When Bulgaria is issuing state:</w:t>
            </w:r>
          </w:p>
          <w:p w:rsidR="00C70009" w:rsidRPr="00ED16B6" w:rsidRDefault="00C70009" w:rsidP="000C635F">
            <w:pPr>
              <w:spacing w:line="240" w:lineRule="auto"/>
            </w:pPr>
            <w:r w:rsidRPr="00ED16B6">
              <w:t>The Regional or District Court which has ruled the decision at first instance.</w:t>
            </w:r>
          </w:p>
          <w:p w:rsidR="00C70009" w:rsidRPr="00ED16B6" w:rsidRDefault="00C70009" w:rsidP="00604464">
            <w:pPr>
              <w:spacing w:line="240" w:lineRule="auto"/>
            </w:pPr>
            <w:r w:rsidRPr="00ED16B6">
              <w:t xml:space="preserve">A list of the district and regional courts in the Republic of Bulgaria </w:t>
            </w:r>
            <w:r w:rsidRPr="00ED16B6">
              <w:lastRenderedPageBreak/>
              <w:t xml:space="preserve">was originally contained in the Notification, drawn up by the Ministry of Justice to the Secretariat. However this list is not contained in document </w:t>
            </w:r>
            <w:r w:rsidR="00604464">
              <w:t xml:space="preserve">(see doc. </w:t>
            </w:r>
            <w:r>
              <w:t>15217/10 COPEN 227 EUROJUST 114 EJN 53)</w:t>
            </w:r>
            <w:r w:rsidRPr="00ED16B6">
              <w:t>.</w:t>
            </w:r>
          </w:p>
          <w:p w:rsidR="00C70009" w:rsidRPr="00ED16B6" w:rsidRDefault="00C70009" w:rsidP="000C635F">
            <w:pPr>
              <w:spacing w:line="240" w:lineRule="auto"/>
              <w:rPr>
                <w:b/>
              </w:rPr>
            </w:pPr>
            <w:r>
              <w:rPr>
                <w:b/>
              </w:rPr>
              <w:t>3/</w:t>
            </w:r>
            <w:r w:rsidRPr="00ED16B6">
              <w:rPr>
                <w:b/>
              </w:rPr>
              <w:t xml:space="preserve"> Central authority:</w:t>
            </w:r>
          </w:p>
          <w:p w:rsidR="00C70009" w:rsidRPr="00ED16B6" w:rsidRDefault="00C70009" w:rsidP="00604464">
            <w:pPr>
              <w:spacing w:line="240" w:lineRule="auto"/>
            </w:pPr>
            <w:r w:rsidRPr="00ED16B6">
              <w:t xml:space="preserve">In cases </w:t>
            </w:r>
            <w:r w:rsidRPr="00701A6F">
              <w:t>where direct contact between the competent authorities is not possible</w:t>
            </w:r>
            <w:r w:rsidRPr="00ED16B6">
              <w:t>, the authority responsible for the administrative transmission and receipt of decisions on the enforcement of financial penalties in the Republic of Bulgaria, shall be the Ministry of Justice.</w:t>
            </w:r>
          </w:p>
          <w:p w:rsidR="00AD3E63" w:rsidRDefault="00AD3E63" w:rsidP="000C635F">
            <w:pPr>
              <w:tabs>
                <w:tab w:val="left" w:pos="1080"/>
                <w:tab w:val="left" w:pos="2340"/>
                <w:tab w:val="left" w:pos="3060"/>
              </w:tabs>
              <w:spacing w:line="240" w:lineRule="auto"/>
              <w:outlineLvl w:val="0"/>
              <w:rPr>
                <w:iCs/>
              </w:rPr>
            </w:pPr>
          </w:p>
          <w:p w:rsidR="00AD3E63" w:rsidRDefault="00AD3E63" w:rsidP="000C635F">
            <w:pPr>
              <w:tabs>
                <w:tab w:val="left" w:pos="1080"/>
                <w:tab w:val="left" w:pos="2340"/>
                <w:tab w:val="left" w:pos="3060"/>
              </w:tabs>
              <w:spacing w:line="240" w:lineRule="auto"/>
              <w:outlineLvl w:val="0"/>
              <w:rPr>
                <w:iCs/>
              </w:rPr>
            </w:pPr>
          </w:p>
          <w:p w:rsidR="00C70009" w:rsidRPr="00C83F95" w:rsidRDefault="00C70009" w:rsidP="000C635F">
            <w:pPr>
              <w:tabs>
                <w:tab w:val="left" w:pos="1080"/>
                <w:tab w:val="left" w:pos="2340"/>
                <w:tab w:val="left" w:pos="3060"/>
              </w:tabs>
              <w:spacing w:line="240" w:lineRule="auto"/>
              <w:outlineLvl w:val="0"/>
              <w:rPr>
                <w:iCs/>
              </w:rPr>
            </w:pPr>
            <w:r w:rsidRPr="00C83F95">
              <w:rPr>
                <w:iCs/>
              </w:rPr>
              <w:lastRenderedPageBreak/>
              <w:t>MINISTRY OF JUSTICE</w:t>
            </w:r>
          </w:p>
          <w:p w:rsidR="00C70009" w:rsidRPr="00C83F95" w:rsidRDefault="00C70009" w:rsidP="00AD3E63">
            <w:pPr>
              <w:tabs>
                <w:tab w:val="left" w:pos="1080"/>
                <w:tab w:val="left" w:pos="2340"/>
                <w:tab w:val="left" w:pos="3060"/>
              </w:tabs>
              <w:spacing w:before="0" w:after="0" w:line="240" w:lineRule="auto"/>
              <w:rPr>
                <w:iCs/>
              </w:rPr>
            </w:pPr>
            <w:r w:rsidRPr="00C83F95">
              <w:rPr>
                <w:iCs/>
              </w:rPr>
              <w:t>Address: 1040 Sofia,"Slavyanska" Street 1</w:t>
            </w:r>
          </w:p>
          <w:p w:rsidR="00C70009" w:rsidRPr="00C83F95" w:rsidRDefault="00C70009" w:rsidP="00AD3E63">
            <w:pPr>
              <w:tabs>
                <w:tab w:val="left" w:pos="1080"/>
                <w:tab w:val="left" w:pos="2340"/>
                <w:tab w:val="left" w:pos="3060"/>
              </w:tabs>
              <w:spacing w:before="0" w:after="0" w:line="240" w:lineRule="auto"/>
              <w:rPr>
                <w:iCs/>
                <w:lang w:val="fr-BE"/>
              </w:rPr>
            </w:pPr>
            <w:r w:rsidRPr="00C83F95">
              <w:rPr>
                <w:iCs/>
                <w:lang w:val="fr-BE"/>
              </w:rPr>
              <w:t xml:space="preserve">Fax: + 359 2 980 92 22, Tel.: + 359 2 9237 545, + 359 2 9237 466 </w:t>
            </w:r>
          </w:p>
          <w:p w:rsidR="00C70009" w:rsidRPr="00C83F95" w:rsidRDefault="00C70009" w:rsidP="00AD3E63">
            <w:pPr>
              <w:spacing w:before="0" w:after="0" w:line="240" w:lineRule="auto"/>
              <w:rPr>
                <w:iCs/>
                <w:lang w:val="fr-BE"/>
              </w:rPr>
            </w:pPr>
            <w:r w:rsidRPr="00C83F95">
              <w:rPr>
                <w:iCs/>
                <w:lang w:val="fr-BE"/>
              </w:rPr>
              <w:t>e-mail: n_hringova@justice.government.bg</w:t>
            </w:r>
          </w:p>
          <w:p w:rsidR="00C70009" w:rsidRPr="0012598A" w:rsidRDefault="00C70009" w:rsidP="000C635F">
            <w:pPr>
              <w:spacing w:line="240" w:lineRule="auto"/>
              <w:rPr>
                <w:lang w:val="fr-BE"/>
              </w:rPr>
            </w:pPr>
            <w:r w:rsidRPr="0012598A">
              <w:rPr>
                <w:lang w:val="fr-BE"/>
              </w:rPr>
              <w:t>(see 15217/10 COPEN 227 EUROJUST 114 EJN 53)</w:t>
            </w:r>
          </w:p>
        </w:tc>
        <w:tc>
          <w:tcPr>
            <w:tcW w:w="886" w:type="pct"/>
            <w:tcBorders>
              <w:bottom w:val="single" w:sz="4" w:space="0" w:color="auto"/>
            </w:tcBorders>
          </w:tcPr>
          <w:p w:rsidR="00C70009" w:rsidRDefault="00C70009" w:rsidP="000C635F">
            <w:pPr>
              <w:spacing w:line="240" w:lineRule="auto"/>
            </w:pPr>
            <w:r>
              <w:lastRenderedPageBreak/>
              <w:t>will not recognise/execute</w:t>
            </w:r>
          </w:p>
          <w:p w:rsidR="00C70009" w:rsidRDefault="00C70009" w:rsidP="000C635F">
            <w:pPr>
              <w:spacing w:line="240" w:lineRule="auto"/>
            </w:pPr>
            <w:r>
              <w:t xml:space="preserve">(see </w:t>
            </w:r>
            <w:r w:rsidR="00604464">
              <w:t>doc.</w:t>
            </w:r>
            <w:r>
              <w:t>15217/10 COPEN 227 EUROJUST 114 EJN 53)</w:t>
            </w:r>
          </w:p>
        </w:tc>
        <w:tc>
          <w:tcPr>
            <w:tcW w:w="749" w:type="pct"/>
            <w:tcBorders>
              <w:bottom w:val="single" w:sz="4" w:space="0" w:color="auto"/>
            </w:tcBorders>
          </w:tcPr>
          <w:p w:rsidR="00C70009" w:rsidRDefault="00C70009" w:rsidP="000C635F">
            <w:r>
              <w:t>Bulgarian</w:t>
            </w:r>
          </w:p>
        </w:tc>
        <w:tc>
          <w:tcPr>
            <w:tcW w:w="749" w:type="pct"/>
            <w:tcBorders>
              <w:bottom w:val="single" w:sz="4" w:space="0" w:color="auto"/>
            </w:tcBorders>
          </w:tcPr>
          <w:p w:rsidR="00C70009" w:rsidRDefault="00604464" w:rsidP="00604464">
            <w:pPr>
              <w:spacing w:line="240" w:lineRule="auto"/>
            </w:pPr>
            <w:r>
              <w:t>(see doc.</w:t>
            </w:r>
            <w:r w:rsidR="00217FBC">
              <w:t>15217/10 COPEN 227 EUROJUST 114 EJN 53)</w:t>
            </w:r>
          </w:p>
        </w:tc>
      </w:tr>
      <w:tr w:rsidR="00C70009" w:rsidRPr="000078F5" w:rsidTr="009A458F">
        <w:tc>
          <w:tcPr>
            <w:tcW w:w="667" w:type="pct"/>
            <w:tcBorders>
              <w:top w:val="single" w:sz="4" w:space="0" w:color="auto"/>
              <w:left w:val="single" w:sz="4" w:space="0" w:color="auto"/>
            </w:tcBorders>
          </w:tcPr>
          <w:p w:rsidR="00C70009" w:rsidRPr="00591D7B" w:rsidRDefault="00C70009" w:rsidP="000C635F">
            <w:r w:rsidRPr="00591D7B">
              <w:lastRenderedPageBreak/>
              <w:t>CZECH REPUBLIC</w:t>
            </w:r>
          </w:p>
        </w:tc>
        <w:tc>
          <w:tcPr>
            <w:tcW w:w="711" w:type="pct"/>
            <w:tcBorders>
              <w:top w:val="single" w:sz="4" w:space="0" w:color="auto"/>
            </w:tcBorders>
          </w:tcPr>
          <w:p w:rsidR="00C70009" w:rsidRDefault="00C70009" w:rsidP="000C635F">
            <w:r>
              <w:t>Implemented</w:t>
            </w:r>
          </w:p>
          <w:p w:rsidR="00C70009" w:rsidRDefault="00C70009" w:rsidP="000C635F">
            <w:pPr>
              <w:spacing w:line="240" w:lineRule="auto"/>
            </w:pPr>
            <w:r>
              <w:t>Entry into force of legislation :</w:t>
            </w:r>
          </w:p>
          <w:p w:rsidR="00C70009" w:rsidRDefault="00C70009" w:rsidP="000C635F">
            <w:r>
              <w:t>1 January 2009</w:t>
            </w:r>
          </w:p>
        </w:tc>
        <w:tc>
          <w:tcPr>
            <w:tcW w:w="1239" w:type="pct"/>
            <w:tcBorders>
              <w:top w:val="single" w:sz="4" w:space="0" w:color="auto"/>
            </w:tcBorders>
          </w:tcPr>
          <w:p w:rsidR="00C70009" w:rsidRPr="00701A6F" w:rsidRDefault="00C70009" w:rsidP="000C635F">
            <w:pPr>
              <w:spacing w:line="240" w:lineRule="auto"/>
            </w:pPr>
            <w:r w:rsidRPr="00594539">
              <w:t xml:space="preserve">1/ Czech Republic </w:t>
            </w:r>
            <w:r>
              <w:t xml:space="preserve">as </w:t>
            </w:r>
            <w:r w:rsidRPr="00701A6F">
              <w:t>the issuing State:</w:t>
            </w:r>
          </w:p>
          <w:p w:rsidR="00C70009" w:rsidRPr="00594539" w:rsidRDefault="00C70009" w:rsidP="005D5678">
            <w:pPr>
              <w:numPr>
                <w:ilvl w:val="0"/>
                <w:numId w:val="24"/>
              </w:numPr>
              <w:spacing w:line="240" w:lineRule="auto"/>
              <w:ind w:left="0" w:firstLine="0"/>
            </w:pPr>
            <w:r w:rsidRPr="00594539">
              <w:t>the locally competent high, regional</w:t>
            </w:r>
            <w:r>
              <w:t xml:space="preserve"> (including Prague Municipal Court)</w:t>
            </w:r>
            <w:r w:rsidRPr="00594539">
              <w:t>, district</w:t>
            </w:r>
            <w:r>
              <w:t xml:space="preserve"> (including Brno Municipal Court)</w:t>
            </w:r>
            <w:r w:rsidRPr="00594539">
              <w:t xml:space="preserve"> and the Supreme Court of the Czech Republic;</w:t>
            </w:r>
          </w:p>
          <w:p w:rsidR="00C70009" w:rsidRPr="00594539" w:rsidRDefault="00C70009" w:rsidP="005D5678">
            <w:pPr>
              <w:numPr>
                <w:ilvl w:val="0"/>
                <w:numId w:val="24"/>
              </w:numPr>
              <w:spacing w:line="240" w:lineRule="auto"/>
              <w:ind w:left="0" w:firstLine="0"/>
            </w:pPr>
            <w:r w:rsidRPr="00594539">
              <w:t>Office of the Government Representation in Property Affairs.</w:t>
            </w:r>
          </w:p>
          <w:p w:rsidR="00C70009" w:rsidRPr="00701A6F" w:rsidRDefault="00C70009" w:rsidP="000C635F">
            <w:pPr>
              <w:spacing w:line="240" w:lineRule="auto"/>
            </w:pPr>
            <w:r w:rsidRPr="00594539">
              <w:lastRenderedPageBreak/>
              <w:t xml:space="preserve">2/ Czech Republic </w:t>
            </w:r>
            <w:r w:rsidRPr="00701A6F">
              <w:t>as the executing State:</w:t>
            </w:r>
          </w:p>
          <w:p w:rsidR="00C70009" w:rsidRPr="00594539" w:rsidRDefault="00C70009" w:rsidP="005D5678">
            <w:pPr>
              <w:numPr>
                <w:ilvl w:val="0"/>
                <w:numId w:val="25"/>
              </w:numPr>
              <w:spacing w:line="240" w:lineRule="auto"/>
              <w:ind w:left="0" w:firstLine="0"/>
            </w:pPr>
            <w:r w:rsidRPr="00594539">
              <w:t>the locally competent high and regional courts and Prague Municipal Court;</w:t>
            </w:r>
          </w:p>
          <w:p w:rsidR="00C70009" w:rsidRPr="00594539" w:rsidRDefault="00C70009" w:rsidP="005D5678">
            <w:pPr>
              <w:numPr>
                <w:ilvl w:val="0"/>
                <w:numId w:val="25"/>
              </w:numPr>
              <w:spacing w:line="240" w:lineRule="auto"/>
              <w:ind w:left="0" w:firstLine="0"/>
            </w:pPr>
            <w:r w:rsidRPr="00594539">
              <w:t>Office of the Government Representation in Property Affairs.</w:t>
            </w:r>
          </w:p>
          <w:p w:rsidR="00C70009" w:rsidRDefault="00C70009" w:rsidP="000C635F">
            <w:pPr>
              <w:spacing w:line="240" w:lineRule="auto"/>
            </w:pPr>
            <w:r>
              <w:t xml:space="preserve">(see </w:t>
            </w:r>
            <w:r w:rsidR="00604464">
              <w:t>doc.</w:t>
            </w:r>
            <w:r>
              <w:t>12002/09 COPEN135)</w:t>
            </w:r>
          </w:p>
        </w:tc>
        <w:tc>
          <w:tcPr>
            <w:tcW w:w="886" w:type="pct"/>
            <w:tcBorders>
              <w:top w:val="single" w:sz="4" w:space="0" w:color="auto"/>
              <w:right w:val="single" w:sz="4" w:space="0" w:color="auto"/>
            </w:tcBorders>
          </w:tcPr>
          <w:p w:rsidR="00C70009" w:rsidRDefault="00C70009" w:rsidP="000C635F">
            <w:pPr>
              <w:spacing w:line="240" w:lineRule="auto"/>
            </w:pPr>
            <w:r>
              <w:lastRenderedPageBreak/>
              <w:t>will not recognise/execute</w:t>
            </w:r>
          </w:p>
          <w:p w:rsidR="00C70009" w:rsidRDefault="00C70009" w:rsidP="000C635F">
            <w:pPr>
              <w:spacing w:line="240" w:lineRule="auto"/>
            </w:pPr>
            <w:r>
              <w:t xml:space="preserve">(see </w:t>
            </w:r>
            <w:r w:rsidR="00604464">
              <w:t>doc.</w:t>
            </w:r>
            <w:r>
              <w:t>12002/09 COPEN 135)</w:t>
            </w:r>
          </w:p>
        </w:tc>
        <w:tc>
          <w:tcPr>
            <w:tcW w:w="749" w:type="pct"/>
            <w:tcBorders>
              <w:top w:val="single" w:sz="4" w:space="0" w:color="auto"/>
              <w:right w:val="single" w:sz="4" w:space="0" w:color="auto"/>
            </w:tcBorders>
          </w:tcPr>
          <w:p w:rsidR="00C70009" w:rsidRDefault="00C70009" w:rsidP="000C635F"/>
        </w:tc>
        <w:tc>
          <w:tcPr>
            <w:tcW w:w="749" w:type="pct"/>
            <w:tcBorders>
              <w:top w:val="single" w:sz="4" w:space="0" w:color="auto"/>
              <w:right w:val="single" w:sz="4" w:space="0" w:color="auto"/>
            </w:tcBorders>
          </w:tcPr>
          <w:p w:rsidR="00C70009" w:rsidRDefault="00217FBC" w:rsidP="00217FBC">
            <w:pPr>
              <w:spacing w:line="240" w:lineRule="auto"/>
            </w:pPr>
            <w:r>
              <w:t xml:space="preserve">(see </w:t>
            </w:r>
            <w:r w:rsidR="00604464">
              <w:t xml:space="preserve">doc. </w:t>
            </w:r>
            <w:r>
              <w:t>12002/09 COPEN 135)</w:t>
            </w:r>
          </w:p>
        </w:tc>
      </w:tr>
    </w:tbl>
    <w:p w:rsidR="008A1DBD" w:rsidRDefault="008A1DBD" w:rsidP="008A1DBD">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0B1311" w:rsidRPr="000078F5" w:rsidRDefault="000B1311" w:rsidP="000B1311">
            <w:pPr>
              <w:spacing w:line="240" w:lineRule="auto"/>
              <w:jc w:val="center"/>
              <w:rPr>
                <w:b/>
              </w:rPr>
            </w:pPr>
            <w:r w:rsidRPr="000078F5">
              <w:rPr>
                <w:b/>
              </w:rPr>
              <w:t>Notification re Article 19</w:t>
            </w:r>
            <w:r>
              <w:rPr>
                <w:b/>
              </w:rPr>
              <w:t>(2)</w:t>
            </w:r>
          </w:p>
          <w:p w:rsidR="00C70009" w:rsidRPr="000078F5" w:rsidRDefault="000B1311" w:rsidP="000B1311">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Borders>
              <w:left w:val="single" w:sz="4" w:space="0" w:color="auto"/>
            </w:tcBorders>
          </w:tcPr>
          <w:p w:rsidR="00C70009" w:rsidRPr="00591D7B" w:rsidRDefault="00C70009" w:rsidP="000C635F">
            <w:r w:rsidRPr="00591D7B">
              <w:t>DENMARK</w:t>
            </w:r>
          </w:p>
        </w:tc>
        <w:tc>
          <w:tcPr>
            <w:tcW w:w="768" w:type="pct"/>
          </w:tcPr>
          <w:p w:rsidR="00C70009" w:rsidRDefault="00C70009" w:rsidP="000C635F">
            <w:r>
              <w:t xml:space="preserve">Implemented </w:t>
            </w:r>
          </w:p>
          <w:p w:rsidR="00C70009" w:rsidRDefault="00C70009" w:rsidP="000C635F">
            <w:pPr>
              <w:spacing w:line="240" w:lineRule="auto"/>
            </w:pPr>
            <w:r>
              <w:t>Entry into force of legislation :</w:t>
            </w:r>
          </w:p>
          <w:p w:rsidR="00C70009" w:rsidRDefault="00C70009" w:rsidP="000C635F">
            <w:r>
              <w:t>1 January 2005</w:t>
            </w:r>
          </w:p>
        </w:tc>
        <w:tc>
          <w:tcPr>
            <w:tcW w:w="966" w:type="pct"/>
          </w:tcPr>
          <w:p w:rsidR="00C70009" w:rsidRDefault="00C70009" w:rsidP="000C635F">
            <w:pPr>
              <w:spacing w:line="240" w:lineRule="auto"/>
            </w:pPr>
            <w:r>
              <w:t>A</w:t>
            </w:r>
            <w:r w:rsidRPr="00DF3D15">
              <w:t>s issuing and executing State</w:t>
            </w:r>
            <w:r>
              <w:t>:</w:t>
            </w:r>
          </w:p>
          <w:p w:rsidR="00C70009" w:rsidRPr="00DF3D15" w:rsidRDefault="00C70009" w:rsidP="000C635F">
            <w:pPr>
              <w:spacing w:line="240" w:lineRule="auto"/>
            </w:pPr>
            <w:r>
              <w:t>Ministry of Justice.</w:t>
            </w:r>
            <w:r w:rsidRPr="00DF3D15">
              <w:t xml:space="preserve">  If it is accompanied by the certificate provided for, an order may be transmitted to:</w:t>
            </w:r>
          </w:p>
          <w:p w:rsidR="00C70009" w:rsidRPr="00DF3D15" w:rsidRDefault="00C70009" w:rsidP="00AD3E63">
            <w:pPr>
              <w:spacing w:before="0" w:after="0" w:line="240" w:lineRule="auto"/>
              <w:outlineLvl w:val="0"/>
            </w:pPr>
            <w:r w:rsidRPr="00DF3D15">
              <w:t>Ministry of Justice</w:t>
            </w:r>
          </w:p>
          <w:p w:rsidR="00C70009" w:rsidRPr="00DF3D15" w:rsidRDefault="00C70009" w:rsidP="00AD3E63">
            <w:pPr>
              <w:spacing w:before="0" w:after="0" w:line="240" w:lineRule="auto"/>
            </w:pPr>
            <w:r w:rsidRPr="00DF3D15">
              <w:t>Slotsholmsgade 10</w:t>
            </w:r>
          </w:p>
          <w:p w:rsidR="00C70009" w:rsidRPr="00DF3D15" w:rsidRDefault="00C70009" w:rsidP="00AD3E63">
            <w:pPr>
              <w:spacing w:before="0" w:after="0" w:line="240" w:lineRule="auto"/>
            </w:pPr>
            <w:r w:rsidRPr="00DF3D15">
              <w:t>1216 København K</w:t>
            </w:r>
          </w:p>
          <w:p w:rsidR="00C70009" w:rsidRPr="00DF3D15" w:rsidRDefault="00C70009" w:rsidP="00AD3E63">
            <w:pPr>
              <w:spacing w:before="0" w:after="0" w:line="240" w:lineRule="auto"/>
            </w:pPr>
            <w:r w:rsidRPr="00DF3D15">
              <w:t>Tel: +45 7226 8400</w:t>
            </w:r>
          </w:p>
          <w:p w:rsidR="00C70009" w:rsidRDefault="00C70009" w:rsidP="00AD3E63">
            <w:pPr>
              <w:spacing w:before="0" w:after="0" w:line="240" w:lineRule="auto"/>
            </w:pPr>
            <w:r w:rsidRPr="00DF3D15">
              <w:t>Fax: +45 3392 2689</w:t>
            </w:r>
          </w:p>
          <w:p w:rsidR="00C70009" w:rsidRDefault="00C70009" w:rsidP="00AD3E63">
            <w:pPr>
              <w:spacing w:before="0" w:after="0" w:line="240" w:lineRule="auto"/>
            </w:pPr>
            <w:r w:rsidRPr="00DF3D15">
              <w:t>Email: jm@jm.dk</w:t>
            </w:r>
          </w:p>
          <w:p w:rsidR="00C70009" w:rsidRDefault="00C70009" w:rsidP="00AD3E63">
            <w:pPr>
              <w:spacing w:before="0" w:after="0" w:line="240" w:lineRule="auto"/>
            </w:pPr>
          </w:p>
          <w:p w:rsidR="00C70009" w:rsidRPr="00DF3D15" w:rsidRDefault="00C70009" w:rsidP="000C635F">
            <w:pPr>
              <w:spacing w:line="240" w:lineRule="auto"/>
            </w:pPr>
            <w:r>
              <w:t>(see doc. 15970/09)</w:t>
            </w:r>
          </w:p>
          <w:p w:rsidR="00C70009" w:rsidRDefault="00C70009" w:rsidP="000C635F"/>
        </w:tc>
        <w:tc>
          <w:tcPr>
            <w:tcW w:w="931" w:type="pct"/>
            <w:tcBorders>
              <w:right w:val="single" w:sz="4" w:space="0" w:color="auto"/>
            </w:tcBorders>
          </w:tcPr>
          <w:p w:rsidR="00C70009" w:rsidRDefault="00C70009" w:rsidP="000C635F"/>
        </w:tc>
        <w:tc>
          <w:tcPr>
            <w:tcW w:w="812" w:type="pct"/>
            <w:tcBorders>
              <w:right w:val="single" w:sz="4" w:space="0" w:color="auto"/>
            </w:tcBorders>
          </w:tcPr>
          <w:p w:rsidR="00C70009" w:rsidRDefault="00C70009" w:rsidP="000C635F">
            <w:r>
              <w:t>Danish</w:t>
            </w:r>
          </w:p>
        </w:tc>
        <w:tc>
          <w:tcPr>
            <w:tcW w:w="812" w:type="pct"/>
            <w:tcBorders>
              <w:right w:val="single" w:sz="4" w:space="0" w:color="auto"/>
            </w:tcBorders>
          </w:tcPr>
          <w:p w:rsidR="00217FBC" w:rsidRPr="00DF3D15" w:rsidRDefault="00217FBC" w:rsidP="00217FBC">
            <w:pPr>
              <w:spacing w:line="240" w:lineRule="auto"/>
            </w:pPr>
            <w:r>
              <w:t>(see doc. 15970/09)</w:t>
            </w:r>
          </w:p>
          <w:p w:rsidR="00C70009" w:rsidRDefault="00C70009" w:rsidP="00073206"/>
        </w:tc>
      </w:tr>
      <w:tr w:rsidR="00C70009" w:rsidRPr="002E2A92" w:rsidTr="00604464">
        <w:tc>
          <w:tcPr>
            <w:tcW w:w="712" w:type="pct"/>
            <w:tcBorders>
              <w:left w:val="single" w:sz="4" w:space="0" w:color="auto"/>
              <w:bottom w:val="single" w:sz="4" w:space="0" w:color="auto"/>
            </w:tcBorders>
          </w:tcPr>
          <w:p w:rsidR="007C0F57" w:rsidRDefault="007C0F57" w:rsidP="000C635F"/>
          <w:p w:rsidR="00C70009" w:rsidRPr="00591D7B" w:rsidRDefault="00C70009" w:rsidP="000C635F">
            <w:r w:rsidRPr="00591D7B">
              <w:lastRenderedPageBreak/>
              <w:t>GERMANY</w:t>
            </w:r>
          </w:p>
        </w:tc>
        <w:tc>
          <w:tcPr>
            <w:tcW w:w="768" w:type="pct"/>
            <w:tcBorders>
              <w:bottom w:val="single" w:sz="4" w:space="0" w:color="auto"/>
            </w:tcBorders>
          </w:tcPr>
          <w:p w:rsidR="007C0F57" w:rsidRDefault="007C0F57" w:rsidP="000C635F">
            <w:pPr>
              <w:spacing w:line="240" w:lineRule="auto"/>
            </w:pPr>
          </w:p>
          <w:p w:rsidR="007C0F57" w:rsidRDefault="007C0F57" w:rsidP="000C635F">
            <w:pPr>
              <w:spacing w:line="240" w:lineRule="auto"/>
            </w:pPr>
          </w:p>
          <w:p w:rsidR="00C70009" w:rsidRDefault="00C70009" w:rsidP="000C635F">
            <w:pPr>
              <w:spacing w:line="240" w:lineRule="auto"/>
            </w:pPr>
            <w:r w:rsidRPr="00EC1A5E">
              <w:lastRenderedPageBreak/>
              <w:t>Implemented</w:t>
            </w:r>
          </w:p>
          <w:p w:rsidR="00C70009" w:rsidRDefault="00C70009" w:rsidP="000C635F">
            <w:pPr>
              <w:spacing w:line="240" w:lineRule="auto"/>
            </w:pPr>
          </w:p>
          <w:p w:rsidR="00C70009" w:rsidRDefault="00C70009" w:rsidP="000C635F">
            <w:pPr>
              <w:spacing w:line="240" w:lineRule="auto"/>
            </w:pPr>
            <w:r>
              <w:t>Entry into force of legislation :</w:t>
            </w:r>
          </w:p>
          <w:p w:rsidR="00C70009" w:rsidRPr="00EC1A5E" w:rsidRDefault="00C70009" w:rsidP="000C635F">
            <w:pPr>
              <w:spacing w:line="240" w:lineRule="auto"/>
            </w:pPr>
            <w:r>
              <w:t>22 October 2009</w:t>
            </w:r>
          </w:p>
        </w:tc>
        <w:tc>
          <w:tcPr>
            <w:tcW w:w="966" w:type="pct"/>
            <w:tcBorders>
              <w:bottom w:val="single" w:sz="4" w:space="0" w:color="auto"/>
            </w:tcBorders>
          </w:tcPr>
          <w:p w:rsidR="007C0F57" w:rsidRDefault="007C0F57" w:rsidP="000C635F">
            <w:pPr>
              <w:spacing w:line="240" w:lineRule="auto"/>
              <w:rPr>
                <w:lang w:val="de-DE"/>
              </w:rPr>
            </w:pPr>
          </w:p>
          <w:p w:rsidR="007C0F57" w:rsidRDefault="007C0F57" w:rsidP="000C635F">
            <w:pPr>
              <w:spacing w:line="240" w:lineRule="auto"/>
              <w:rPr>
                <w:lang w:val="de-DE"/>
              </w:rPr>
            </w:pPr>
          </w:p>
          <w:p w:rsidR="00C70009" w:rsidRPr="00EC1A5E" w:rsidRDefault="00C70009" w:rsidP="000C635F">
            <w:pPr>
              <w:spacing w:line="240" w:lineRule="auto"/>
              <w:rPr>
                <w:lang w:val="de-DE"/>
              </w:rPr>
            </w:pPr>
            <w:r w:rsidRPr="00EC1A5E">
              <w:rPr>
                <w:lang w:val="de-DE"/>
              </w:rPr>
              <w:lastRenderedPageBreak/>
              <w:t xml:space="preserve">State </w:t>
            </w:r>
            <w:proofErr w:type="spellStart"/>
            <w:r w:rsidRPr="00EC1A5E">
              <w:rPr>
                <w:lang w:val="de-DE"/>
              </w:rPr>
              <w:t>prosecutor</w:t>
            </w:r>
            <w:proofErr w:type="spellEnd"/>
            <w:r w:rsidRPr="00EC1A5E">
              <w:rPr>
                <w:lang w:val="de-DE"/>
              </w:rPr>
              <w:t xml:space="preserve"> </w:t>
            </w:r>
          </w:p>
          <w:p w:rsidR="00C70009" w:rsidRPr="00EC1A5E" w:rsidRDefault="00C70009" w:rsidP="000C635F">
            <w:pPr>
              <w:rPr>
                <w:lang w:val="de-DE"/>
              </w:rPr>
            </w:pPr>
            <w:r w:rsidRPr="00EC1A5E">
              <w:rPr>
                <w:lang w:val="de-DE"/>
              </w:rPr>
              <w:t>and</w:t>
            </w:r>
          </w:p>
          <w:p w:rsidR="00C70009" w:rsidRDefault="00C70009" w:rsidP="000C635F">
            <w:pPr>
              <w:spacing w:line="240" w:lineRule="auto"/>
              <w:rPr>
                <w:lang w:val="de-DE"/>
              </w:rPr>
            </w:pPr>
            <w:r w:rsidRPr="00EC1A5E">
              <w:rPr>
                <w:lang w:val="de-DE"/>
              </w:rPr>
              <w:t>Senatsverwaltung für Justiz in Berlin</w:t>
            </w:r>
          </w:p>
          <w:p w:rsidR="00C70009" w:rsidRPr="002E2A92" w:rsidRDefault="00604464" w:rsidP="00604464">
            <w:pPr>
              <w:spacing w:line="240" w:lineRule="auto"/>
              <w:rPr>
                <w:lang w:val="de-DE"/>
              </w:rPr>
            </w:pPr>
            <w:r>
              <w:rPr>
                <w:lang w:val="de-DE"/>
              </w:rPr>
              <w:t>(</w:t>
            </w:r>
            <w:proofErr w:type="spellStart"/>
            <w:r>
              <w:rPr>
                <w:lang w:val="de-DE"/>
              </w:rPr>
              <w:t>see</w:t>
            </w:r>
            <w:proofErr w:type="spellEnd"/>
            <w:r>
              <w:rPr>
                <w:lang w:val="de-DE"/>
              </w:rPr>
              <w:t xml:space="preserve"> doc.</w:t>
            </w:r>
            <w:r w:rsidR="00C70009">
              <w:rPr>
                <w:lang w:val="de-DE"/>
              </w:rPr>
              <w:t>17509/10 COPEN 281)</w:t>
            </w:r>
          </w:p>
        </w:tc>
        <w:tc>
          <w:tcPr>
            <w:tcW w:w="931" w:type="pct"/>
            <w:tcBorders>
              <w:bottom w:val="single" w:sz="4" w:space="0" w:color="auto"/>
              <w:right w:val="single" w:sz="4" w:space="0" w:color="auto"/>
            </w:tcBorders>
          </w:tcPr>
          <w:p w:rsidR="007C0F57" w:rsidRDefault="007C0F57" w:rsidP="000C635F">
            <w:pPr>
              <w:rPr>
                <w:lang w:val="de-DE"/>
              </w:rPr>
            </w:pPr>
          </w:p>
          <w:p w:rsidR="00AC5F0E" w:rsidRDefault="00AC5F0E" w:rsidP="00AC5F0E">
            <w:pPr>
              <w:spacing w:before="0" w:after="0"/>
              <w:rPr>
                <w:lang w:val="de-DE"/>
              </w:rPr>
            </w:pPr>
          </w:p>
          <w:p w:rsidR="00C70009" w:rsidRPr="00EC1A5E" w:rsidRDefault="00C70009" w:rsidP="00AC5F0E">
            <w:pPr>
              <w:spacing w:before="0" w:after="0"/>
              <w:rPr>
                <w:lang w:val="de-DE"/>
              </w:rPr>
            </w:pPr>
            <w:r w:rsidRPr="00EC1A5E">
              <w:rPr>
                <w:lang w:val="de-DE"/>
              </w:rPr>
              <w:lastRenderedPageBreak/>
              <w:t xml:space="preserve">will not </w:t>
            </w:r>
            <w:proofErr w:type="spellStart"/>
            <w:r w:rsidRPr="00EC1A5E">
              <w:rPr>
                <w:lang w:val="de-DE"/>
              </w:rPr>
              <w:t>recognise</w:t>
            </w:r>
            <w:proofErr w:type="spellEnd"/>
            <w:r w:rsidRPr="00EC1A5E">
              <w:rPr>
                <w:lang w:val="de-DE"/>
              </w:rPr>
              <w:t xml:space="preserve"> / </w:t>
            </w:r>
            <w:proofErr w:type="spellStart"/>
            <w:r w:rsidRPr="00EC1A5E">
              <w:rPr>
                <w:lang w:val="de-DE"/>
              </w:rPr>
              <w:t>execute</w:t>
            </w:r>
            <w:proofErr w:type="spellEnd"/>
          </w:p>
        </w:tc>
        <w:tc>
          <w:tcPr>
            <w:tcW w:w="812" w:type="pct"/>
            <w:tcBorders>
              <w:bottom w:val="single" w:sz="4" w:space="0" w:color="auto"/>
              <w:right w:val="single" w:sz="4" w:space="0" w:color="auto"/>
            </w:tcBorders>
          </w:tcPr>
          <w:p w:rsidR="007C0F57" w:rsidRDefault="007C0F57" w:rsidP="000C635F">
            <w:pPr>
              <w:spacing w:line="240" w:lineRule="auto"/>
            </w:pPr>
          </w:p>
          <w:p w:rsidR="007C0F57" w:rsidRDefault="007C0F57" w:rsidP="000C635F">
            <w:pPr>
              <w:spacing w:line="240" w:lineRule="auto"/>
            </w:pPr>
          </w:p>
          <w:p w:rsidR="00C70009" w:rsidRPr="00EC1A5E" w:rsidRDefault="00C70009" w:rsidP="000C635F">
            <w:pPr>
              <w:spacing w:line="240" w:lineRule="auto"/>
            </w:pPr>
            <w:r w:rsidRPr="00EC1A5E">
              <w:lastRenderedPageBreak/>
              <w:t xml:space="preserve">German </w:t>
            </w:r>
          </w:p>
          <w:p w:rsidR="00C70009" w:rsidRPr="00EC1A5E" w:rsidRDefault="00C70009" w:rsidP="000C635F">
            <w:pPr>
              <w:spacing w:line="240" w:lineRule="auto"/>
            </w:pPr>
            <w:r w:rsidRPr="00EC1A5E">
              <w:t>and</w:t>
            </w:r>
          </w:p>
          <w:p w:rsidR="00C70009" w:rsidRPr="002E2A92" w:rsidRDefault="00C70009" w:rsidP="000C635F">
            <w:pPr>
              <w:spacing w:line="240" w:lineRule="auto"/>
            </w:pPr>
            <w:r w:rsidRPr="00EC1A5E">
              <w:t>official language of other member States which accept confiscation orders in German</w:t>
            </w:r>
          </w:p>
        </w:tc>
        <w:tc>
          <w:tcPr>
            <w:tcW w:w="812" w:type="pct"/>
            <w:tcBorders>
              <w:bottom w:val="single" w:sz="4" w:space="0" w:color="auto"/>
              <w:right w:val="single" w:sz="4" w:space="0" w:color="auto"/>
            </w:tcBorders>
          </w:tcPr>
          <w:p w:rsidR="007C0F57" w:rsidRPr="00AC5F0E" w:rsidRDefault="007C0F57" w:rsidP="003B3237">
            <w:pPr>
              <w:spacing w:line="240" w:lineRule="auto"/>
            </w:pPr>
          </w:p>
          <w:p w:rsidR="007C0F57" w:rsidRPr="00AC5F0E" w:rsidRDefault="007C0F57" w:rsidP="003B3237">
            <w:pPr>
              <w:spacing w:line="240" w:lineRule="auto"/>
            </w:pPr>
          </w:p>
          <w:p w:rsidR="00C70009" w:rsidRPr="00EC1A5E" w:rsidRDefault="00604464" w:rsidP="003B3237">
            <w:pPr>
              <w:spacing w:line="240" w:lineRule="auto"/>
            </w:pPr>
            <w:r>
              <w:rPr>
                <w:lang w:val="de-DE"/>
              </w:rPr>
              <w:lastRenderedPageBreak/>
              <w:t>(</w:t>
            </w:r>
            <w:proofErr w:type="spellStart"/>
            <w:r>
              <w:rPr>
                <w:lang w:val="de-DE"/>
              </w:rPr>
              <w:t>see</w:t>
            </w:r>
            <w:proofErr w:type="spellEnd"/>
            <w:r w:rsidR="003B3237">
              <w:rPr>
                <w:lang w:val="de-DE"/>
              </w:rPr>
              <w:t xml:space="preserve"> </w:t>
            </w:r>
            <w:r>
              <w:rPr>
                <w:lang w:val="de-DE"/>
              </w:rPr>
              <w:t>doc.</w:t>
            </w:r>
            <w:r w:rsidR="003B3237">
              <w:rPr>
                <w:lang w:val="de-DE"/>
              </w:rPr>
              <w:t>17509/10 COPEN 281)</w:t>
            </w:r>
          </w:p>
        </w:tc>
      </w:tr>
      <w:tr w:rsidR="00C70009" w:rsidRPr="000078F5" w:rsidTr="00604464">
        <w:tc>
          <w:tcPr>
            <w:tcW w:w="712" w:type="pct"/>
            <w:tcBorders>
              <w:top w:val="single" w:sz="4" w:space="0" w:color="auto"/>
            </w:tcBorders>
          </w:tcPr>
          <w:p w:rsidR="00C70009" w:rsidRPr="00591D7B" w:rsidRDefault="00C70009" w:rsidP="000C635F">
            <w:r w:rsidRPr="00591D7B">
              <w:lastRenderedPageBreak/>
              <w:t>ESTONIA</w:t>
            </w:r>
          </w:p>
        </w:tc>
        <w:tc>
          <w:tcPr>
            <w:tcW w:w="768" w:type="pct"/>
            <w:tcBorders>
              <w:top w:val="single" w:sz="4" w:space="0" w:color="auto"/>
            </w:tcBorders>
          </w:tcPr>
          <w:p w:rsidR="00C70009" w:rsidRDefault="00C70009" w:rsidP="000C635F">
            <w:pPr>
              <w:spacing w:line="240" w:lineRule="auto"/>
            </w:pPr>
            <w:r>
              <w:t>(The FD is in drafting process and will be submitted to Parliament in September 2011 and will be implemented)</w:t>
            </w:r>
          </w:p>
        </w:tc>
        <w:tc>
          <w:tcPr>
            <w:tcW w:w="966" w:type="pct"/>
            <w:tcBorders>
              <w:top w:val="single" w:sz="4" w:space="0" w:color="auto"/>
            </w:tcBorders>
          </w:tcPr>
          <w:p w:rsidR="00C70009" w:rsidRDefault="00C70009" w:rsidP="000C635F"/>
        </w:tc>
        <w:tc>
          <w:tcPr>
            <w:tcW w:w="931" w:type="pct"/>
            <w:tcBorders>
              <w:top w:val="single" w:sz="4" w:space="0" w:color="auto"/>
            </w:tcBorders>
          </w:tcPr>
          <w:p w:rsidR="00C70009" w:rsidRDefault="00C70009" w:rsidP="000C635F"/>
        </w:tc>
        <w:tc>
          <w:tcPr>
            <w:tcW w:w="812" w:type="pct"/>
            <w:tcBorders>
              <w:top w:val="single" w:sz="4" w:space="0" w:color="auto"/>
            </w:tcBorders>
          </w:tcPr>
          <w:p w:rsidR="00C70009" w:rsidRDefault="00C70009" w:rsidP="000C635F"/>
        </w:tc>
        <w:tc>
          <w:tcPr>
            <w:tcW w:w="812" w:type="pct"/>
            <w:tcBorders>
              <w:top w:val="single" w:sz="4" w:space="0" w:color="auto"/>
            </w:tcBorders>
          </w:tcPr>
          <w:p w:rsidR="00C70009" w:rsidRDefault="00C70009" w:rsidP="00073206"/>
        </w:tc>
      </w:tr>
      <w:tr w:rsidR="00C70009" w:rsidRPr="000078F5" w:rsidTr="00604464">
        <w:tc>
          <w:tcPr>
            <w:tcW w:w="712" w:type="pct"/>
          </w:tcPr>
          <w:p w:rsidR="00C70009" w:rsidRPr="00591D7B" w:rsidRDefault="00C70009" w:rsidP="000C635F">
            <w:r w:rsidRPr="00591D7B">
              <w:t>GREECE</w:t>
            </w:r>
          </w:p>
        </w:tc>
        <w:tc>
          <w:tcPr>
            <w:tcW w:w="768" w:type="pct"/>
          </w:tcPr>
          <w:p w:rsidR="00C70009" w:rsidRDefault="00C70009" w:rsidP="000C635F"/>
        </w:tc>
        <w:tc>
          <w:tcPr>
            <w:tcW w:w="966" w:type="pct"/>
          </w:tcPr>
          <w:p w:rsidR="00C70009" w:rsidRDefault="00C70009" w:rsidP="000C635F"/>
        </w:tc>
        <w:tc>
          <w:tcPr>
            <w:tcW w:w="931" w:type="pct"/>
          </w:tcPr>
          <w:p w:rsidR="00C70009" w:rsidRDefault="00C70009" w:rsidP="000C635F"/>
        </w:tc>
        <w:tc>
          <w:tcPr>
            <w:tcW w:w="812" w:type="pct"/>
          </w:tcPr>
          <w:p w:rsidR="00C70009" w:rsidRDefault="00C70009" w:rsidP="000C635F"/>
        </w:tc>
        <w:tc>
          <w:tcPr>
            <w:tcW w:w="812" w:type="pct"/>
          </w:tcPr>
          <w:p w:rsidR="00C70009" w:rsidRDefault="00C70009" w:rsidP="00073206"/>
        </w:tc>
      </w:tr>
    </w:tbl>
    <w:p w:rsidR="008A1DBD" w:rsidRDefault="008A1DBD" w:rsidP="008A1D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862619">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0B1311" w:rsidRPr="000078F5" w:rsidRDefault="000B1311" w:rsidP="000B1311">
            <w:pPr>
              <w:spacing w:line="240" w:lineRule="auto"/>
              <w:jc w:val="center"/>
              <w:rPr>
                <w:b/>
              </w:rPr>
            </w:pPr>
            <w:r w:rsidRPr="000078F5">
              <w:rPr>
                <w:b/>
              </w:rPr>
              <w:t>Notification re Article 19</w:t>
            </w:r>
            <w:r>
              <w:rPr>
                <w:b/>
              </w:rPr>
              <w:t>(2)</w:t>
            </w:r>
          </w:p>
          <w:p w:rsidR="00C70009" w:rsidRPr="000078F5" w:rsidRDefault="000B1311" w:rsidP="000B1311">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C675DC" w:rsidTr="00604464">
        <w:tc>
          <w:tcPr>
            <w:tcW w:w="712" w:type="pct"/>
          </w:tcPr>
          <w:p w:rsidR="00C70009" w:rsidRPr="002C266D" w:rsidRDefault="00C70009" w:rsidP="000C635F">
            <w:pPr>
              <w:spacing w:line="240" w:lineRule="auto"/>
              <w:rPr>
                <w:u w:val="single"/>
              </w:rPr>
            </w:pPr>
            <w:r w:rsidRPr="002C266D">
              <w:rPr>
                <w:u w:val="single"/>
              </w:rPr>
              <w:t>SPAIN</w:t>
            </w:r>
          </w:p>
        </w:tc>
        <w:tc>
          <w:tcPr>
            <w:tcW w:w="768" w:type="pct"/>
          </w:tcPr>
          <w:p w:rsidR="00C70009" w:rsidRDefault="00C70009" w:rsidP="000C635F">
            <w:pPr>
              <w:spacing w:line="240" w:lineRule="auto"/>
            </w:pPr>
            <w:r>
              <w:t>Entry into force of legislation :</w:t>
            </w:r>
          </w:p>
          <w:p w:rsidR="00C70009" w:rsidRDefault="00C70009" w:rsidP="000C635F">
            <w:pPr>
              <w:spacing w:line="240" w:lineRule="auto"/>
            </w:pPr>
          </w:p>
          <w:p w:rsidR="00C70009" w:rsidRPr="002C266D" w:rsidRDefault="002C266D" w:rsidP="000C635F">
            <w:pPr>
              <w:spacing w:line="240" w:lineRule="auto"/>
              <w:rPr>
                <w:u w:val="single"/>
              </w:rPr>
            </w:pPr>
            <w:r w:rsidRPr="002C266D">
              <w:rPr>
                <w:u w:val="single"/>
              </w:rPr>
              <w:t>21 November 2014</w:t>
            </w:r>
          </w:p>
        </w:tc>
        <w:tc>
          <w:tcPr>
            <w:tcW w:w="966" w:type="pct"/>
          </w:tcPr>
          <w:p w:rsidR="00C70009" w:rsidRPr="002C266D" w:rsidRDefault="002C266D" w:rsidP="002C266D">
            <w:pPr>
              <w:spacing w:line="240" w:lineRule="auto"/>
              <w:rPr>
                <w:u w:val="single"/>
                <w:lang w:val="en-US"/>
              </w:rPr>
            </w:pPr>
            <w:r w:rsidRPr="002C266D">
              <w:rPr>
                <w:u w:val="single"/>
                <w:lang w:val="en-US"/>
              </w:rPr>
              <w:t xml:space="preserve">As </w:t>
            </w:r>
            <w:r w:rsidR="00C70009" w:rsidRPr="002C266D">
              <w:rPr>
                <w:u w:val="single"/>
                <w:lang w:val="en-US"/>
              </w:rPr>
              <w:t xml:space="preserve">issuing state: </w:t>
            </w:r>
            <w:r w:rsidRPr="002C266D">
              <w:rPr>
                <w:u w:val="single"/>
                <w:lang w:val="en-US"/>
              </w:rPr>
              <w:t>the Criminal Courts or Judges presiding over the enforcement of sentences where the confiscation of property is imposed as an additional consequence</w:t>
            </w:r>
          </w:p>
          <w:p w:rsidR="002C266D" w:rsidRPr="002C266D" w:rsidRDefault="00C70009" w:rsidP="002C266D">
            <w:pPr>
              <w:spacing w:line="240" w:lineRule="auto"/>
              <w:rPr>
                <w:u w:val="single"/>
                <w:lang w:val="en-US"/>
              </w:rPr>
            </w:pPr>
            <w:r w:rsidRPr="00EC1A5E">
              <w:rPr>
                <w:lang w:val="en-US"/>
              </w:rPr>
              <w:t xml:space="preserve"> </w:t>
            </w:r>
            <w:r w:rsidR="002C266D" w:rsidRPr="002C266D">
              <w:rPr>
                <w:u w:val="single"/>
                <w:lang w:val="en-US"/>
              </w:rPr>
              <w:t>As</w:t>
            </w:r>
            <w:r w:rsidRPr="002C266D">
              <w:rPr>
                <w:u w:val="single"/>
                <w:lang w:val="en-US"/>
              </w:rPr>
              <w:t xml:space="preserve"> executing state:</w:t>
            </w:r>
            <w:r w:rsidRPr="00EC1A5E">
              <w:rPr>
                <w:lang w:val="en-US"/>
              </w:rPr>
              <w:t xml:space="preserve"> </w:t>
            </w:r>
            <w:r w:rsidRPr="002C266D">
              <w:rPr>
                <w:u w:val="single"/>
                <w:lang w:val="en-US"/>
              </w:rPr>
              <w:t>The criminal court where the property is located</w:t>
            </w:r>
            <w:r w:rsidR="002C266D" w:rsidRPr="002C266D">
              <w:rPr>
                <w:u w:val="single"/>
                <w:lang w:val="en-US"/>
              </w:rPr>
              <w:t xml:space="preserve"> or has been located initially; </w:t>
            </w:r>
          </w:p>
          <w:p w:rsidR="00C70009" w:rsidRPr="002C266D" w:rsidRDefault="002C266D" w:rsidP="002C266D">
            <w:pPr>
              <w:spacing w:before="0" w:line="240" w:lineRule="auto"/>
              <w:rPr>
                <w:u w:val="single"/>
                <w:lang w:val="en-US"/>
              </w:rPr>
            </w:pPr>
            <w:r w:rsidRPr="002C266D">
              <w:rPr>
                <w:u w:val="single"/>
                <w:lang w:val="en-US"/>
              </w:rPr>
              <w:t>in case of request concerning more items or in case of multiple requests - the criminal court, which has received a request first.</w:t>
            </w:r>
          </w:p>
          <w:p w:rsidR="00C70009" w:rsidRPr="00C675DC" w:rsidRDefault="00604464" w:rsidP="002C266D">
            <w:pPr>
              <w:spacing w:line="240" w:lineRule="auto"/>
            </w:pPr>
            <w:r>
              <w:rPr>
                <w:u w:val="single"/>
                <w:lang w:val="en-US"/>
              </w:rPr>
              <w:t>(see doc.</w:t>
            </w:r>
            <w:r w:rsidR="00C70009" w:rsidRPr="002C266D">
              <w:rPr>
                <w:u w:val="single"/>
                <w:lang w:val="en-US"/>
              </w:rPr>
              <w:t xml:space="preserve"> </w:t>
            </w:r>
            <w:r w:rsidR="002C266D" w:rsidRPr="002C266D">
              <w:rPr>
                <w:u w:val="single"/>
                <w:lang w:val="en-US"/>
              </w:rPr>
              <w:t>8721/15</w:t>
            </w:r>
            <w:r w:rsidR="002C266D">
              <w:rPr>
                <w:u w:val="single"/>
                <w:lang w:val="en-US"/>
              </w:rPr>
              <w:t>)</w:t>
            </w:r>
          </w:p>
        </w:tc>
        <w:tc>
          <w:tcPr>
            <w:tcW w:w="931" w:type="pct"/>
          </w:tcPr>
          <w:p w:rsidR="00C70009" w:rsidRPr="002C266D" w:rsidRDefault="002C266D" w:rsidP="002C266D">
            <w:pPr>
              <w:spacing w:line="240" w:lineRule="auto"/>
              <w:rPr>
                <w:u w:val="single"/>
              </w:rPr>
            </w:pPr>
            <w:r w:rsidRPr="002C266D">
              <w:rPr>
                <w:u w:val="single"/>
              </w:rPr>
              <w:t xml:space="preserve">Will not recognise/execute when </w:t>
            </w:r>
            <w:r>
              <w:rPr>
                <w:u w:val="single"/>
              </w:rPr>
              <w:t>the competent court</w:t>
            </w:r>
            <w:r w:rsidRPr="002C266D">
              <w:rPr>
                <w:u w:val="single"/>
              </w:rPr>
              <w:t xml:space="preserve"> consider</w:t>
            </w:r>
            <w:r>
              <w:rPr>
                <w:u w:val="single"/>
              </w:rPr>
              <w:t>s</w:t>
            </w:r>
            <w:r w:rsidRPr="002C266D">
              <w:rPr>
                <w:u w:val="single"/>
              </w:rPr>
              <w:t xml:space="preserve"> that the confiscation order is incompatible with the fundamental rights and freedoms enshrined in the </w:t>
            </w:r>
            <w:r w:rsidR="00A1122D">
              <w:rPr>
                <w:u w:val="single"/>
              </w:rPr>
              <w:t xml:space="preserve">Spanish </w:t>
            </w:r>
            <w:r w:rsidRPr="002C266D">
              <w:rPr>
                <w:u w:val="single"/>
              </w:rPr>
              <w:t xml:space="preserve">Constitution </w:t>
            </w:r>
          </w:p>
        </w:tc>
        <w:tc>
          <w:tcPr>
            <w:tcW w:w="812" w:type="pct"/>
          </w:tcPr>
          <w:p w:rsidR="00C70009" w:rsidRPr="00C675DC" w:rsidRDefault="00C70009" w:rsidP="000C635F">
            <w:pPr>
              <w:spacing w:line="240" w:lineRule="auto"/>
            </w:pPr>
            <w:r w:rsidRPr="00C675DC">
              <w:t>Spanish</w:t>
            </w:r>
          </w:p>
        </w:tc>
        <w:tc>
          <w:tcPr>
            <w:tcW w:w="812" w:type="pct"/>
          </w:tcPr>
          <w:p w:rsidR="00C70009" w:rsidRPr="002C266D" w:rsidRDefault="00604464" w:rsidP="00604464">
            <w:pPr>
              <w:spacing w:line="240" w:lineRule="auto"/>
              <w:rPr>
                <w:u w:val="single"/>
              </w:rPr>
            </w:pPr>
            <w:r>
              <w:rPr>
                <w:u w:val="single"/>
                <w:lang w:val="en-US"/>
              </w:rPr>
              <w:t>(see doc.</w:t>
            </w:r>
            <w:r w:rsidR="00446DAC" w:rsidRPr="002C266D">
              <w:rPr>
                <w:u w:val="single"/>
                <w:lang w:val="en-US"/>
              </w:rPr>
              <w:t xml:space="preserve"> </w:t>
            </w:r>
            <w:r w:rsidR="002C266D" w:rsidRPr="002C266D">
              <w:rPr>
                <w:u w:val="single"/>
                <w:lang w:val="en-US"/>
              </w:rPr>
              <w:t>8138/15</w:t>
            </w:r>
            <w:r w:rsidR="00446DAC" w:rsidRPr="002C266D">
              <w:rPr>
                <w:u w:val="single"/>
                <w:lang w:val="en-US"/>
              </w:rPr>
              <w:t xml:space="preserve"> </w:t>
            </w:r>
            <w:r w:rsidR="002C266D" w:rsidRPr="002C266D">
              <w:rPr>
                <w:u w:val="single"/>
                <w:lang w:val="en-US"/>
              </w:rPr>
              <w:t>and 8721/15</w:t>
            </w:r>
            <w:r w:rsidR="00446DAC" w:rsidRPr="002C266D">
              <w:rPr>
                <w:u w:val="single"/>
                <w:lang w:val="en-US"/>
              </w:rPr>
              <w:t>)</w:t>
            </w:r>
          </w:p>
        </w:tc>
      </w:tr>
    </w:tbl>
    <w:p w:rsidR="001259EC" w:rsidRDefault="001259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862619">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Pr>
          <w:p w:rsidR="00C70009" w:rsidRPr="00591D7B" w:rsidRDefault="00C70009" w:rsidP="000C635F">
            <w:r w:rsidRPr="00591D7B">
              <w:t>FRANCE</w:t>
            </w:r>
          </w:p>
        </w:tc>
        <w:tc>
          <w:tcPr>
            <w:tcW w:w="768" w:type="pct"/>
          </w:tcPr>
          <w:p w:rsidR="00C70009" w:rsidRDefault="00C70009" w:rsidP="000C635F">
            <w:r>
              <w:t>Implemented</w:t>
            </w:r>
          </w:p>
          <w:p w:rsidR="00C70009" w:rsidRDefault="00C70009" w:rsidP="000C635F">
            <w:pPr>
              <w:spacing w:line="240" w:lineRule="auto"/>
            </w:pPr>
            <w:r>
              <w:t>Adoption of legislation :</w:t>
            </w:r>
          </w:p>
          <w:p w:rsidR="00C70009" w:rsidRDefault="00C70009" w:rsidP="000C635F">
            <w:r>
              <w:t>9 July 2010</w:t>
            </w:r>
          </w:p>
        </w:tc>
        <w:tc>
          <w:tcPr>
            <w:tcW w:w="966" w:type="pct"/>
          </w:tcPr>
          <w:p w:rsidR="00C70009" w:rsidRPr="008B569A" w:rsidRDefault="00C70009" w:rsidP="000C635F">
            <w:pPr>
              <w:pStyle w:val="EntRefer"/>
              <w:rPr>
                <w:b w:val="0"/>
                <w:lang w:val="fr-FR"/>
              </w:rPr>
            </w:pPr>
            <w:r w:rsidRPr="008B569A">
              <w:rPr>
                <w:b w:val="0"/>
                <w:lang w:val="fr-FR"/>
              </w:rPr>
              <w:t>Pour l'article 3§1:</w:t>
            </w:r>
          </w:p>
          <w:p w:rsidR="00C70009" w:rsidRPr="008B569A" w:rsidRDefault="00C70009" w:rsidP="000C635F">
            <w:pPr>
              <w:pStyle w:val="EntRefer"/>
              <w:rPr>
                <w:b w:val="0"/>
                <w:lang w:val="fr-FR"/>
              </w:rPr>
            </w:pPr>
            <w:r w:rsidRPr="008B569A">
              <w:rPr>
                <w:b w:val="0"/>
                <w:lang w:val="fr-FR"/>
              </w:rPr>
              <w:t xml:space="preserve">a) pour la mise à exécution d'une décision de confiscation : </w:t>
            </w:r>
          </w:p>
          <w:p w:rsidR="00C70009" w:rsidRPr="008B569A" w:rsidRDefault="00C70009" w:rsidP="000C635F">
            <w:pPr>
              <w:pStyle w:val="EntRefer"/>
              <w:rPr>
                <w:b w:val="0"/>
                <w:lang w:val="fr-FR"/>
              </w:rPr>
            </w:pPr>
            <w:r w:rsidRPr="008B569A">
              <w:rPr>
                <w:b w:val="0"/>
                <w:lang w:val="fr-FR"/>
              </w:rPr>
              <w:t>les magistrats et officiers du ministère public;</w:t>
            </w:r>
          </w:p>
          <w:p w:rsidR="00C70009" w:rsidRPr="008B569A" w:rsidRDefault="00C70009" w:rsidP="000C635F">
            <w:pPr>
              <w:pStyle w:val="EntRefer"/>
              <w:rPr>
                <w:b w:val="0"/>
                <w:lang w:val="fr-FR"/>
              </w:rPr>
            </w:pPr>
            <w:r w:rsidRPr="008B569A">
              <w:rPr>
                <w:b w:val="0"/>
                <w:lang w:val="fr-FR"/>
              </w:rPr>
              <w:t>b) pour la réception d'une demande de confiscation :</w:t>
            </w:r>
          </w:p>
          <w:p w:rsidR="00C70009" w:rsidRPr="008B569A" w:rsidRDefault="00C70009" w:rsidP="000C635F">
            <w:pPr>
              <w:pStyle w:val="EntRefer"/>
              <w:rPr>
                <w:b w:val="0"/>
                <w:lang w:val="fr-FR"/>
              </w:rPr>
            </w:pPr>
            <w:r w:rsidRPr="008B569A">
              <w:rPr>
                <w:b w:val="0"/>
                <w:lang w:val="fr-FR"/>
              </w:rPr>
              <w:t>les procureurs de la République territorialement compétents.</w:t>
            </w:r>
          </w:p>
          <w:p w:rsidR="00C70009" w:rsidRPr="008B569A" w:rsidRDefault="00C70009" w:rsidP="000C635F">
            <w:pPr>
              <w:pStyle w:val="EntRefer"/>
              <w:rPr>
                <w:b w:val="0"/>
                <w:lang w:val="fr-FR"/>
              </w:rPr>
            </w:pPr>
          </w:p>
          <w:p w:rsidR="00C70009" w:rsidRPr="00440DF0" w:rsidRDefault="00C70009" w:rsidP="000C635F">
            <w:pPr>
              <w:pStyle w:val="EntRefer"/>
              <w:rPr>
                <w:b w:val="0"/>
                <w:lang w:val="fr-BE"/>
              </w:rPr>
            </w:pPr>
          </w:p>
        </w:tc>
        <w:tc>
          <w:tcPr>
            <w:tcW w:w="931" w:type="pct"/>
          </w:tcPr>
          <w:p w:rsidR="00C70009" w:rsidRPr="00764A61" w:rsidRDefault="00C70009" w:rsidP="000C635F">
            <w:pPr>
              <w:pStyle w:val="EntRefer"/>
              <w:rPr>
                <w:b w:val="0"/>
                <w:lang w:val="fr-FR"/>
              </w:rPr>
            </w:pPr>
            <w:r w:rsidRPr="00764A61">
              <w:rPr>
                <w:b w:val="0"/>
                <w:lang w:val="fr-FR"/>
              </w:rPr>
              <w:t>La France n’a effectué aucune déclaration au titre de l’article 7, paragraphe 2 de la décision-cadre</w:t>
            </w:r>
          </w:p>
          <w:p w:rsidR="00C70009" w:rsidRDefault="00604464" w:rsidP="000C635F">
            <w:pPr>
              <w:spacing w:line="240" w:lineRule="auto"/>
            </w:pPr>
            <w:r>
              <w:t>(see doc.</w:t>
            </w:r>
            <w:r w:rsidR="00C70009">
              <w:t>17038/10 COPEN 272)</w:t>
            </w:r>
          </w:p>
        </w:tc>
        <w:tc>
          <w:tcPr>
            <w:tcW w:w="812" w:type="pct"/>
          </w:tcPr>
          <w:p w:rsidR="00C70009" w:rsidRDefault="00C70009" w:rsidP="000C635F">
            <w:r>
              <w:t xml:space="preserve">French </w:t>
            </w:r>
          </w:p>
          <w:p w:rsidR="00C70009" w:rsidRDefault="00C70009" w:rsidP="000C635F"/>
          <w:p w:rsidR="00C70009" w:rsidRDefault="00C70009" w:rsidP="000C635F"/>
        </w:tc>
        <w:tc>
          <w:tcPr>
            <w:tcW w:w="812" w:type="pct"/>
          </w:tcPr>
          <w:p w:rsidR="00C70009" w:rsidRDefault="00604464" w:rsidP="00446DAC">
            <w:pPr>
              <w:spacing w:line="240" w:lineRule="auto"/>
            </w:pPr>
            <w:r>
              <w:t>(see doc.</w:t>
            </w:r>
            <w:r w:rsidR="00446DAC">
              <w:t>17038/10 COPEN 272)</w:t>
            </w:r>
          </w:p>
        </w:tc>
      </w:tr>
    </w:tbl>
    <w:p w:rsidR="001259EC" w:rsidRDefault="001259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Pr>
          <w:p w:rsidR="00C70009" w:rsidRPr="002C266D" w:rsidRDefault="00C70009" w:rsidP="000C635F">
            <w:r w:rsidRPr="002C266D">
              <w:t>CROATIA</w:t>
            </w:r>
          </w:p>
        </w:tc>
        <w:tc>
          <w:tcPr>
            <w:tcW w:w="768" w:type="pct"/>
          </w:tcPr>
          <w:p w:rsidR="00C70009" w:rsidRPr="002C266D" w:rsidRDefault="00C70009" w:rsidP="00C83F95">
            <w:pPr>
              <w:spacing w:line="240" w:lineRule="auto"/>
            </w:pPr>
            <w:r w:rsidRPr="002C266D">
              <w:t>Implemented as part of the acquis - 1 July 2013</w:t>
            </w:r>
          </w:p>
        </w:tc>
        <w:tc>
          <w:tcPr>
            <w:tcW w:w="966" w:type="pct"/>
          </w:tcPr>
          <w:p w:rsidR="00E81853" w:rsidRPr="002C266D" w:rsidRDefault="00E81853" w:rsidP="002070D5">
            <w:pPr>
              <w:spacing w:line="240" w:lineRule="auto"/>
            </w:pPr>
            <w:r w:rsidRPr="002C266D">
              <w:t>1) When HR is executing State:</w:t>
            </w:r>
          </w:p>
          <w:p w:rsidR="00C70009" w:rsidRPr="002C266D" w:rsidRDefault="00C70009" w:rsidP="00E81853">
            <w:pPr>
              <w:spacing w:line="240" w:lineRule="auto"/>
            </w:pPr>
            <w:r w:rsidRPr="002C266D">
              <w:t>a) The county state attorney's offices</w:t>
            </w:r>
            <w:r w:rsidR="00E81853" w:rsidRPr="002C266D">
              <w:t xml:space="preserve"> for the place where the property or objects are located, or, in the case of natural persons, where the person in question is permanently or temporarily resident or stays, or, in the case of legal persons, where the person in question has its registered seat (competent to receive a decision on confiscation)</w:t>
            </w:r>
            <w:r w:rsidRPr="002C266D">
              <w:t>;</w:t>
            </w:r>
          </w:p>
          <w:p w:rsidR="00C70009" w:rsidRDefault="00C70009" w:rsidP="00D50081">
            <w:pPr>
              <w:spacing w:line="240" w:lineRule="auto"/>
            </w:pPr>
            <w:r w:rsidRPr="002C266D">
              <w:t>b) the county courts</w:t>
            </w:r>
            <w:r w:rsidR="00E81853" w:rsidRPr="002C266D">
              <w:t xml:space="preserve"> (competent to rec</w:t>
            </w:r>
            <w:r w:rsidR="00D50081" w:rsidRPr="002C266D">
              <w:t>ognise</w:t>
            </w:r>
            <w:r w:rsidR="00E81853" w:rsidRPr="002C266D">
              <w:t xml:space="preserve"> and execute a decision on confiscation)</w:t>
            </w:r>
            <w:r w:rsidRPr="002C266D">
              <w:t>;</w:t>
            </w:r>
          </w:p>
          <w:p w:rsidR="007C0F57" w:rsidRPr="002C266D" w:rsidRDefault="007C0F57" w:rsidP="00D50081">
            <w:pPr>
              <w:spacing w:line="240" w:lineRule="auto"/>
            </w:pPr>
          </w:p>
          <w:p w:rsidR="00C70009" w:rsidRPr="002C266D" w:rsidRDefault="00E81853" w:rsidP="00E81853">
            <w:pPr>
              <w:spacing w:line="240" w:lineRule="auto"/>
            </w:pPr>
            <w:r w:rsidRPr="002C266D">
              <w:lastRenderedPageBreak/>
              <w:t>2) When HR is issuing State:</w:t>
            </w:r>
          </w:p>
          <w:p w:rsidR="00E81853" w:rsidRPr="002C266D" w:rsidRDefault="00E81853" w:rsidP="00E81853">
            <w:pPr>
              <w:spacing w:line="240" w:lineRule="auto"/>
            </w:pPr>
            <w:r w:rsidRPr="002C266D">
              <w:t>- competent courts under national law</w:t>
            </w:r>
          </w:p>
          <w:p w:rsidR="00C70009" w:rsidRPr="002C266D" w:rsidRDefault="00C70009" w:rsidP="00604464">
            <w:pPr>
              <w:spacing w:line="240" w:lineRule="auto"/>
            </w:pPr>
            <w:r w:rsidRPr="002C266D">
              <w:t>(list provided in doc. 12335/14 COPEN 203 EUROJUST 140 EJN 75 Annex II)</w:t>
            </w:r>
          </w:p>
        </w:tc>
        <w:tc>
          <w:tcPr>
            <w:tcW w:w="931" w:type="pct"/>
          </w:tcPr>
          <w:p w:rsidR="00C70009" w:rsidRPr="002C266D" w:rsidRDefault="00C70009" w:rsidP="000C635F">
            <w:r w:rsidRPr="002C266D">
              <w:lastRenderedPageBreak/>
              <w:t>Will not recognise/execute</w:t>
            </w:r>
          </w:p>
          <w:p w:rsidR="00C70009" w:rsidRPr="002C266D" w:rsidRDefault="00C70009" w:rsidP="00604464">
            <w:pPr>
              <w:spacing w:line="240" w:lineRule="auto"/>
            </w:pPr>
            <w:r w:rsidRPr="002C266D">
              <w:t xml:space="preserve">(see </w:t>
            </w:r>
            <w:r w:rsidR="00604464">
              <w:t xml:space="preserve">doc. </w:t>
            </w:r>
            <w:r w:rsidRPr="002C266D">
              <w:t>12335/14 COPEN 203 EUROJUST 140 EJN 75)</w:t>
            </w:r>
          </w:p>
        </w:tc>
        <w:tc>
          <w:tcPr>
            <w:tcW w:w="812" w:type="pct"/>
          </w:tcPr>
          <w:p w:rsidR="00604464" w:rsidRDefault="00C70009" w:rsidP="00E81853">
            <w:pPr>
              <w:spacing w:line="240" w:lineRule="auto"/>
            </w:pPr>
            <w:r w:rsidRPr="002C266D">
              <w:t xml:space="preserve">Croatian; </w:t>
            </w:r>
          </w:p>
          <w:p w:rsidR="00C70009" w:rsidRPr="002C266D" w:rsidRDefault="00C70009" w:rsidP="00E81853">
            <w:pPr>
              <w:spacing w:line="240" w:lineRule="auto"/>
            </w:pPr>
            <w:r w:rsidRPr="002C266D">
              <w:t>English (</w:t>
            </w:r>
            <w:r w:rsidR="00E81853" w:rsidRPr="002C266D">
              <w:t>in urgent cases</w:t>
            </w:r>
            <w:r w:rsidRPr="002C266D">
              <w:t>)</w:t>
            </w:r>
            <w:r w:rsidR="00D50081" w:rsidRPr="002C266D">
              <w:t xml:space="preserve"> on a reciprocal basis</w:t>
            </w:r>
          </w:p>
        </w:tc>
        <w:tc>
          <w:tcPr>
            <w:tcW w:w="812" w:type="pct"/>
          </w:tcPr>
          <w:p w:rsidR="00C70009" w:rsidRPr="002C266D" w:rsidRDefault="00446DAC" w:rsidP="00604464">
            <w:pPr>
              <w:spacing w:line="240" w:lineRule="auto"/>
            </w:pPr>
            <w:r w:rsidRPr="002C266D">
              <w:t xml:space="preserve">(see </w:t>
            </w:r>
            <w:r w:rsidR="00604464">
              <w:t>doc.</w:t>
            </w:r>
            <w:r w:rsidRPr="002C266D">
              <w:t xml:space="preserve"> 12335/14 COPEN 203 EUROJUST 140 EJN 75)</w:t>
            </w:r>
          </w:p>
        </w:tc>
      </w:tr>
    </w:tbl>
    <w:p w:rsidR="002070D5" w:rsidRDefault="002070D5">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Pr>
          <w:p w:rsidR="00C70009" w:rsidRPr="00591D7B" w:rsidRDefault="00C70009" w:rsidP="000C635F">
            <w:r w:rsidRPr="00591D7B">
              <w:t>IRELAND</w:t>
            </w:r>
          </w:p>
        </w:tc>
        <w:tc>
          <w:tcPr>
            <w:tcW w:w="768" w:type="pct"/>
          </w:tcPr>
          <w:p w:rsidR="00C70009" w:rsidRDefault="00C70009" w:rsidP="000C635F"/>
        </w:tc>
        <w:tc>
          <w:tcPr>
            <w:tcW w:w="966" w:type="pct"/>
          </w:tcPr>
          <w:p w:rsidR="00C70009" w:rsidRDefault="00C70009" w:rsidP="000C635F"/>
        </w:tc>
        <w:tc>
          <w:tcPr>
            <w:tcW w:w="931" w:type="pct"/>
          </w:tcPr>
          <w:p w:rsidR="00C70009" w:rsidRDefault="00C70009" w:rsidP="000C635F"/>
        </w:tc>
        <w:tc>
          <w:tcPr>
            <w:tcW w:w="812" w:type="pct"/>
          </w:tcPr>
          <w:p w:rsidR="00C70009" w:rsidRDefault="00C70009" w:rsidP="000C635F"/>
        </w:tc>
        <w:tc>
          <w:tcPr>
            <w:tcW w:w="812" w:type="pct"/>
          </w:tcPr>
          <w:p w:rsidR="00C70009" w:rsidRDefault="00C70009" w:rsidP="00073206"/>
        </w:tc>
      </w:tr>
      <w:tr w:rsidR="00C70009" w:rsidRPr="000078F5" w:rsidTr="00604464">
        <w:tc>
          <w:tcPr>
            <w:tcW w:w="712" w:type="pct"/>
          </w:tcPr>
          <w:p w:rsidR="00C70009" w:rsidRPr="00591D7B" w:rsidRDefault="00C70009" w:rsidP="000C635F">
            <w:r w:rsidRPr="00591D7B">
              <w:t>ITALY</w:t>
            </w:r>
          </w:p>
        </w:tc>
        <w:tc>
          <w:tcPr>
            <w:tcW w:w="768" w:type="pct"/>
          </w:tcPr>
          <w:p w:rsidR="00C70009" w:rsidRDefault="00C70009" w:rsidP="000C635F"/>
        </w:tc>
        <w:tc>
          <w:tcPr>
            <w:tcW w:w="966" w:type="pct"/>
          </w:tcPr>
          <w:p w:rsidR="00C70009" w:rsidRDefault="00C70009" w:rsidP="000C635F"/>
        </w:tc>
        <w:tc>
          <w:tcPr>
            <w:tcW w:w="931" w:type="pct"/>
          </w:tcPr>
          <w:p w:rsidR="00C70009" w:rsidRDefault="00C70009" w:rsidP="000C635F"/>
        </w:tc>
        <w:tc>
          <w:tcPr>
            <w:tcW w:w="812" w:type="pct"/>
          </w:tcPr>
          <w:p w:rsidR="00C70009" w:rsidRDefault="00C70009" w:rsidP="000C635F"/>
        </w:tc>
        <w:tc>
          <w:tcPr>
            <w:tcW w:w="812" w:type="pct"/>
          </w:tcPr>
          <w:p w:rsidR="00C70009" w:rsidRDefault="00C70009" w:rsidP="00073206"/>
        </w:tc>
      </w:tr>
    </w:tbl>
    <w:p w:rsidR="008A1DBD" w:rsidRDefault="008A1D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862619">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Pr>
          <w:p w:rsidR="00C70009" w:rsidRPr="00591D7B" w:rsidRDefault="00C70009" w:rsidP="000C635F">
            <w:r w:rsidRPr="00591D7B">
              <w:t>CYPRUS</w:t>
            </w:r>
          </w:p>
        </w:tc>
        <w:tc>
          <w:tcPr>
            <w:tcW w:w="768" w:type="pct"/>
          </w:tcPr>
          <w:p w:rsidR="00C70009" w:rsidRDefault="00C70009" w:rsidP="000C635F">
            <w:pPr>
              <w:spacing w:line="240" w:lineRule="auto"/>
            </w:pPr>
            <w:r>
              <w:t>Implemented</w:t>
            </w:r>
          </w:p>
          <w:p w:rsidR="00C70009" w:rsidRDefault="00C70009" w:rsidP="000C635F">
            <w:pPr>
              <w:spacing w:line="240" w:lineRule="auto"/>
            </w:pPr>
            <w:r>
              <w:t xml:space="preserve">Entry into force of legislation: </w:t>
            </w:r>
          </w:p>
          <w:p w:rsidR="00C70009" w:rsidRDefault="00C70009" w:rsidP="000C635F">
            <w:pPr>
              <w:spacing w:line="240" w:lineRule="auto"/>
            </w:pPr>
            <w:r>
              <w:t>25 June 2010 with the amending law (No. 58(I)/10), of the Prevention and Suppression of Money Laundering and Terrorist Financing Law of 2007</w:t>
            </w:r>
          </w:p>
        </w:tc>
        <w:tc>
          <w:tcPr>
            <w:tcW w:w="966" w:type="pct"/>
          </w:tcPr>
          <w:p w:rsidR="00C70009" w:rsidRDefault="00C70009" w:rsidP="000C635F">
            <w:pPr>
              <w:spacing w:line="240" w:lineRule="auto"/>
            </w:pPr>
            <w:r>
              <w:t xml:space="preserve">Unit for Combating Money Laundering (MOKAS), Attorney General's Office </w:t>
            </w:r>
          </w:p>
          <w:p w:rsidR="00C70009" w:rsidRDefault="00C70009" w:rsidP="000C635F">
            <w:pPr>
              <w:spacing w:line="240" w:lineRule="auto"/>
            </w:pPr>
            <w:r>
              <w:t>Tel: +357 22446018, 22446004</w:t>
            </w:r>
          </w:p>
          <w:p w:rsidR="00C70009" w:rsidRDefault="00C70009" w:rsidP="000C635F">
            <w:pPr>
              <w:spacing w:line="240" w:lineRule="auto"/>
            </w:pPr>
            <w:r>
              <w:t>Fax: +357 22317063</w:t>
            </w:r>
          </w:p>
          <w:p w:rsidR="00C70009" w:rsidRDefault="00C70009" w:rsidP="000C635F">
            <w:pPr>
              <w:spacing w:line="240" w:lineRule="auto"/>
            </w:pPr>
            <w:r>
              <w:t>E-mail: mokas@mokas.law.gov.cy</w:t>
            </w:r>
          </w:p>
        </w:tc>
        <w:tc>
          <w:tcPr>
            <w:tcW w:w="931" w:type="pct"/>
          </w:tcPr>
          <w:p w:rsidR="00C70009" w:rsidRDefault="00C70009" w:rsidP="000C635F"/>
        </w:tc>
        <w:tc>
          <w:tcPr>
            <w:tcW w:w="812" w:type="pct"/>
          </w:tcPr>
          <w:p w:rsidR="00C70009" w:rsidRDefault="00C70009" w:rsidP="000C635F">
            <w:r>
              <w:t>Greek and English</w:t>
            </w:r>
          </w:p>
        </w:tc>
        <w:tc>
          <w:tcPr>
            <w:tcW w:w="812" w:type="pct"/>
          </w:tcPr>
          <w:p w:rsidR="00C70009" w:rsidRDefault="00C70009" w:rsidP="00073206"/>
        </w:tc>
      </w:tr>
    </w:tbl>
    <w:p w:rsidR="008A1DBD" w:rsidRDefault="008A1DBD" w:rsidP="008A1D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604464">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604464">
        <w:tc>
          <w:tcPr>
            <w:tcW w:w="712" w:type="pct"/>
          </w:tcPr>
          <w:p w:rsidR="00C70009" w:rsidRPr="00591D7B" w:rsidRDefault="00C70009" w:rsidP="000C635F">
            <w:r w:rsidRPr="00591D7B">
              <w:t>LATVIA</w:t>
            </w:r>
          </w:p>
        </w:tc>
        <w:tc>
          <w:tcPr>
            <w:tcW w:w="768" w:type="pct"/>
          </w:tcPr>
          <w:p w:rsidR="00C70009" w:rsidRDefault="00C70009" w:rsidP="000C635F">
            <w:r>
              <w:t xml:space="preserve">Implemented </w:t>
            </w:r>
          </w:p>
          <w:p w:rsidR="00C70009" w:rsidRDefault="00C70009" w:rsidP="000C635F">
            <w:pPr>
              <w:spacing w:line="240" w:lineRule="auto"/>
            </w:pPr>
            <w:r>
              <w:t>Entry into force of legislation :</w:t>
            </w:r>
          </w:p>
          <w:p w:rsidR="00C70009" w:rsidRDefault="00C70009" w:rsidP="000C635F">
            <w:r>
              <w:t>14 July 2009</w:t>
            </w:r>
          </w:p>
        </w:tc>
        <w:tc>
          <w:tcPr>
            <w:tcW w:w="966" w:type="pct"/>
          </w:tcPr>
          <w:p w:rsidR="00C70009" w:rsidRPr="00701A6F" w:rsidRDefault="00C70009" w:rsidP="000C635F">
            <w:pPr>
              <w:spacing w:line="240" w:lineRule="auto"/>
              <w:rPr>
                <w:color w:val="000000"/>
              </w:rPr>
            </w:pPr>
            <w:r w:rsidRPr="00701A6F">
              <w:rPr>
                <w:color w:val="000000"/>
              </w:rPr>
              <w:t xml:space="preserve">Competent authority  as executing State: </w:t>
            </w:r>
          </w:p>
          <w:p w:rsidR="00C70009" w:rsidRPr="000078F5" w:rsidRDefault="00C70009" w:rsidP="000C635F">
            <w:pPr>
              <w:spacing w:line="240" w:lineRule="auto"/>
              <w:rPr>
                <w:color w:val="000000"/>
              </w:rPr>
            </w:pPr>
            <w:r w:rsidRPr="000078F5">
              <w:rPr>
                <w:color w:val="000000"/>
              </w:rPr>
              <w:t xml:space="preserve">any district (city) court </w:t>
            </w:r>
          </w:p>
          <w:p w:rsidR="00C70009" w:rsidRPr="00701A6F" w:rsidRDefault="00C70009" w:rsidP="000C635F">
            <w:pPr>
              <w:spacing w:line="240" w:lineRule="auto"/>
              <w:rPr>
                <w:color w:val="000000"/>
              </w:rPr>
            </w:pPr>
            <w:r w:rsidRPr="00701A6F">
              <w:rPr>
                <w:color w:val="000000"/>
              </w:rPr>
              <w:t>Competent authority as issuing State: any court</w:t>
            </w:r>
          </w:p>
          <w:p w:rsidR="00C70009" w:rsidRPr="00701A6F" w:rsidRDefault="00C70009" w:rsidP="000C635F">
            <w:pPr>
              <w:spacing w:line="240" w:lineRule="auto"/>
              <w:rPr>
                <w:color w:val="000000"/>
              </w:rPr>
            </w:pPr>
            <w:r w:rsidRPr="00701A6F">
              <w:rPr>
                <w:color w:val="000000"/>
              </w:rPr>
              <w:t>Central authority:</w:t>
            </w:r>
          </w:p>
          <w:p w:rsidR="00C70009" w:rsidRPr="000078F5" w:rsidRDefault="00C70009" w:rsidP="007C0F57">
            <w:pPr>
              <w:spacing w:before="0" w:after="0" w:line="240" w:lineRule="auto"/>
              <w:rPr>
                <w:color w:val="000000"/>
              </w:rPr>
            </w:pPr>
            <w:r w:rsidRPr="000078F5">
              <w:rPr>
                <w:color w:val="000000"/>
              </w:rPr>
              <w:t>Tieslietu ministrija (Ministry of Justice)</w:t>
            </w:r>
          </w:p>
          <w:p w:rsidR="00C70009" w:rsidRPr="000078F5" w:rsidRDefault="00C70009" w:rsidP="007C0F57">
            <w:pPr>
              <w:spacing w:before="0" w:after="0" w:line="240" w:lineRule="auto"/>
              <w:rPr>
                <w:color w:val="000000"/>
                <w:lang w:val="pt-PT"/>
              </w:rPr>
            </w:pPr>
            <w:r w:rsidRPr="000078F5">
              <w:rPr>
                <w:color w:val="000000"/>
                <w:lang w:val="pt-PT"/>
              </w:rPr>
              <w:t xml:space="preserve">Brīvības bulv. 36 - Riga  </w:t>
            </w:r>
          </w:p>
          <w:p w:rsidR="00C70009" w:rsidRPr="000078F5" w:rsidRDefault="00C70009" w:rsidP="007C0F57">
            <w:pPr>
              <w:spacing w:before="0" w:after="0" w:line="240" w:lineRule="auto"/>
              <w:rPr>
                <w:color w:val="000000"/>
                <w:lang w:val="pt-PT"/>
              </w:rPr>
            </w:pPr>
            <w:r w:rsidRPr="000078F5">
              <w:rPr>
                <w:color w:val="000000"/>
                <w:lang w:val="pt-PT"/>
              </w:rPr>
              <w:t>LV-1536</w:t>
            </w:r>
          </w:p>
          <w:p w:rsidR="00C70009" w:rsidRPr="000078F5" w:rsidRDefault="00C70009" w:rsidP="007C0F57">
            <w:pPr>
              <w:spacing w:before="0" w:after="0" w:line="240" w:lineRule="auto"/>
              <w:rPr>
                <w:color w:val="000000"/>
                <w:lang w:val="pt-PT"/>
              </w:rPr>
            </w:pPr>
            <w:r w:rsidRPr="000078F5">
              <w:rPr>
                <w:color w:val="000000"/>
                <w:lang w:val="pt-PT"/>
              </w:rPr>
              <w:t>Latvia</w:t>
            </w:r>
          </w:p>
          <w:p w:rsidR="00C70009" w:rsidRPr="000078F5" w:rsidRDefault="00C70009" w:rsidP="007C0F57">
            <w:pPr>
              <w:spacing w:before="0" w:after="0" w:line="240" w:lineRule="auto"/>
              <w:rPr>
                <w:color w:val="000000"/>
                <w:lang w:val="pt-PT"/>
              </w:rPr>
            </w:pPr>
            <w:r w:rsidRPr="000078F5">
              <w:rPr>
                <w:color w:val="000000"/>
                <w:lang w:val="pt-PT"/>
              </w:rPr>
              <w:t>tel.:</w:t>
            </w:r>
            <w:r w:rsidRPr="000078F5">
              <w:rPr>
                <w:color w:val="000000"/>
                <w:lang w:val="pt-PT"/>
              </w:rPr>
              <w:tab/>
              <w:t>+371 67036801</w:t>
            </w:r>
          </w:p>
          <w:p w:rsidR="00C70009" w:rsidRPr="000078F5" w:rsidRDefault="00C70009" w:rsidP="007C0F57">
            <w:pPr>
              <w:spacing w:before="0" w:after="0" w:line="240" w:lineRule="auto"/>
              <w:rPr>
                <w:color w:val="000000"/>
                <w:lang w:val="pt-PT"/>
              </w:rPr>
            </w:pPr>
            <w:r w:rsidRPr="000078F5">
              <w:rPr>
                <w:color w:val="000000"/>
                <w:lang w:val="pt-PT"/>
              </w:rPr>
              <w:tab/>
              <w:t>+371 67285575</w:t>
            </w:r>
          </w:p>
          <w:p w:rsidR="00C70009" w:rsidRPr="000078F5" w:rsidRDefault="00C70009" w:rsidP="007C0F57">
            <w:pPr>
              <w:spacing w:before="0" w:after="0" w:line="240" w:lineRule="auto"/>
              <w:rPr>
                <w:color w:val="000000"/>
                <w:lang w:val="pt-PT"/>
              </w:rPr>
            </w:pPr>
            <w:r w:rsidRPr="000078F5">
              <w:rPr>
                <w:color w:val="000000"/>
                <w:lang w:val="pt-PT"/>
              </w:rPr>
              <w:t>fax:</w:t>
            </w:r>
            <w:r w:rsidRPr="000078F5">
              <w:rPr>
                <w:color w:val="000000"/>
                <w:lang w:val="pt-PT"/>
              </w:rPr>
              <w:tab/>
              <w:t>+371 670720823</w:t>
            </w:r>
          </w:p>
          <w:p w:rsidR="00C70009" w:rsidRPr="00701A6F" w:rsidRDefault="00C70009" w:rsidP="007C0F57">
            <w:pPr>
              <w:spacing w:before="0" w:after="0" w:line="240" w:lineRule="auto"/>
              <w:rPr>
                <w:color w:val="000000"/>
                <w:lang w:val="pt-PT"/>
              </w:rPr>
            </w:pPr>
            <w:r w:rsidRPr="000078F5">
              <w:rPr>
                <w:color w:val="000000"/>
                <w:lang w:val="pt-PT"/>
              </w:rPr>
              <w:t xml:space="preserve">e-mail: </w:t>
            </w:r>
            <w:r w:rsidRPr="00701A6F">
              <w:rPr>
                <w:color w:val="000000"/>
                <w:lang w:val="pt-PT"/>
              </w:rPr>
              <w:t>tm.kanceleja@tm.gov.lv</w:t>
            </w:r>
          </w:p>
          <w:p w:rsidR="00C70009" w:rsidRPr="000078F5" w:rsidRDefault="00C70009" w:rsidP="000C635F">
            <w:pPr>
              <w:spacing w:line="240" w:lineRule="auto"/>
              <w:rPr>
                <w:highlight w:val="yellow"/>
                <w:lang w:val="pt-PT"/>
              </w:rPr>
            </w:pPr>
            <w:r w:rsidRPr="00701A6F">
              <w:rPr>
                <w:color w:val="000000"/>
                <w:lang w:val="pt-PT"/>
              </w:rPr>
              <w:t>(see doc. 15586/09)</w:t>
            </w:r>
          </w:p>
        </w:tc>
        <w:tc>
          <w:tcPr>
            <w:tcW w:w="931" w:type="pct"/>
          </w:tcPr>
          <w:p w:rsidR="00C70009" w:rsidRPr="000078F5" w:rsidRDefault="00C70009" w:rsidP="000C635F">
            <w:pPr>
              <w:rPr>
                <w:lang w:val="pt-PT"/>
              </w:rPr>
            </w:pPr>
          </w:p>
        </w:tc>
        <w:tc>
          <w:tcPr>
            <w:tcW w:w="812" w:type="pct"/>
          </w:tcPr>
          <w:p w:rsidR="00C70009" w:rsidRPr="00F16E82" w:rsidRDefault="00C70009" w:rsidP="000C635F">
            <w:r>
              <w:t>L</w:t>
            </w:r>
            <w:r w:rsidRPr="00F16E82">
              <w:t>atvian</w:t>
            </w:r>
          </w:p>
        </w:tc>
        <w:tc>
          <w:tcPr>
            <w:tcW w:w="812" w:type="pct"/>
          </w:tcPr>
          <w:p w:rsidR="00C70009" w:rsidRDefault="00604464" w:rsidP="00E81853">
            <w:pPr>
              <w:spacing w:line="240" w:lineRule="auto"/>
            </w:pPr>
            <w:r>
              <w:t xml:space="preserve">(see doc. </w:t>
            </w:r>
            <w:r w:rsidR="00E81853">
              <w:t>15586/09 COPEN 224)</w:t>
            </w:r>
          </w:p>
        </w:tc>
      </w:tr>
      <w:tr w:rsidR="00C70009" w:rsidRPr="000078F5" w:rsidTr="00604464">
        <w:tc>
          <w:tcPr>
            <w:tcW w:w="712" w:type="pct"/>
          </w:tcPr>
          <w:p w:rsidR="007C0F57" w:rsidRDefault="007C0F57" w:rsidP="000C635F"/>
          <w:p w:rsidR="00C70009" w:rsidRPr="00897848" w:rsidRDefault="00C70009" w:rsidP="000C635F">
            <w:r w:rsidRPr="00897848">
              <w:lastRenderedPageBreak/>
              <w:t>LITHUANIA</w:t>
            </w:r>
          </w:p>
        </w:tc>
        <w:tc>
          <w:tcPr>
            <w:tcW w:w="768" w:type="pct"/>
          </w:tcPr>
          <w:p w:rsidR="007C0F57" w:rsidRDefault="007C0F57" w:rsidP="000C635F"/>
          <w:p w:rsidR="00C70009" w:rsidRPr="00897848" w:rsidRDefault="00C70009" w:rsidP="000C635F">
            <w:r w:rsidRPr="00897848">
              <w:lastRenderedPageBreak/>
              <w:t xml:space="preserve">Implemented </w:t>
            </w:r>
          </w:p>
          <w:p w:rsidR="00C70009" w:rsidRPr="00897848" w:rsidRDefault="00C70009" w:rsidP="000C635F">
            <w:pPr>
              <w:spacing w:line="240" w:lineRule="auto"/>
            </w:pPr>
            <w:r w:rsidRPr="00897848">
              <w:t>Entry into force of legislation :</w:t>
            </w:r>
          </w:p>
          <w:p w:rsidR="00C70009" w:rsidRPr="00897848" w:rsidRDefault="00C70009" w:rsidP="000C635F">
            <w:r w:rsidRPr="00897848">
              <w:t>21 March 2013</w:t>
            </w:r>
          </w:p>
        </w:tc>
        <w:tc>
          <w:tcPr>
            <w:tcW w:w="966" w:type="pct"/>
          </w:tcPr>
          <w:p w:rsidR="007C0F57" w:rsidRDefault="007C0F57" w:rsidP="000C635F">
            <w:pPr>
              <w:spacing w:line="240" w:lineRule="auto"/>
              <w:rPr>
                <w:color w:val="000000"/>
              </w:rPr>
            </w:pPr>
          </w:p>
          <w:p w:rsidR="007C0F57" w:rsidRDefault="007C0F57" w:rsidP="007C0F57">
            <w:pPr>
              <w:spacing w:before="0" w:after="0" w:line="240" w:lineRule="auto"/>
              <w:rPr>
                <w:color w:val="000000"/>
              </w:rPr>
            </w:pPr>
          </w:p>
          <w:p w:rsidR="00C70009" w:rsidRPr="00897848" w:rsidRDefault="00C70009" w:rsidP="000C635F">
            <w:pPr>
              <w:spacing w:line="240" w:lineRule="auto"/>
              <w:rPr>
                <w:color w:val="000000"/>
              </w:rPr>
            </w:pPr>
            <w:r w:rsidRPr="00897848">
              <w:rPr>
                <w:color w:val="000000"/>
              </w:rPr>
              <w:lastRenderedPageBreak/>
              <w:t xml:space="preserve">1) Competent authority  as executing State: </w:t>
            </w:r>
          </w:p>
          <w:p w:rsidR="00C70009" w:rsidRPr="00897848" w:rsidRDefault="00C70009" w:rsidP="000C635F">
            <w:pPr>
              <w:spacing w:line="240" w:lineRule="auto"/>
            </w:pPr>
            <w:r w:rsidRPr="00897848">
              <w:t>District courts</w:t>
            </w:r>
          </w:p>
          <w:p w:rsidR="00C70009" w:rsidRPr="00897848" w:rsidRDefault="00C70009" w:rsidP="000C635F">
            <w:pPr>
              <w:spacing w:line="240" w:lineRule="auto"/>
              <w:rPr>
                <w:color w:val="000000"/>
              </w:rPr>
            </w:pPr>
            <w:r w:rsidRPr="00897848">
              <w:t xml:space="preserve">2) </w:t>
            </w:r>
            <w:r w:rsidRPr="00897848">
              <w:rPr>
                <w:color w:val="000000"/>
              </w:rPr>
              <w:t>Competent authority as issuing State:</w:t>
            </w:r>
          </w:p>
          <w:p w:rsidR="00C70009" w:rsidRPr="00897848" w:rsidRDefault="00C70009" w:rsidP="000C635F">
            <w:pPr>
              <w:spacing w:line="240" w:lineRule="auto"/>
              <w:rPr>
                <w:color w:val="000000"/>
              </w:rPr>
            </w:pPr>
            <w:r w:rsidRPr="00897848">
              <w:rPr>
                <w:color w:val="000000"/>
              </w:rPr>
              <w:t>Courts of general jurisdiction (district courts, regional courts, the Lithuanian Court of Appeal and the Supreme Court of Lithuania)</w:t>
            </w:r>
          </w:p>
          <w:p w:rsidR="00C70009" w:rsidRPr="00897848" w:rsidRDefault="00C70009" w:rsidP="000C635F">
            <w:pPr>
              <w:spacing w:line="240" w:lineRule="auto"/>
              <w:rPr>
                <w:color w:val="000000"/>
              </w:rPr>
            </w:pPr>
            <w:r w:rsidRPr="00897848">
              <w:rPr>
                <w:color w:val="000000"/>
              </w:rPr>
              <w:t>Central authority:</w:t>
            </w:r>
          </w:p>
          <w:p w:rsidR="00C70009" w:rsidRPr="00897848" w:rsidRDefault="00C70009" w:rsidP="007C0F57">
            <w:pPr>
              <w:spacing w:before="0" w:after="0" w:line="240" w:lineRule="auto"/>
              <w:rPr>
                <w:color w:val="000000"/>
              </w:rPr>
            </w:pPr>
            <w:r w:rsidRPr="00897848">
              <w:rPr>
                <w:color w:val="000000"/>
              </w:rPr>
              <w:t>Ministry of Justice of the Republic of Lithuania</w:t>
            </w:r>
          </w:p>
          <w:p w:rsidR="00C70009" w:rsidRPr="00897848" w:rsidRDefault="00C70009" w:rsidP="007C0F57">
            <w:pPr>
              <w:spacing w:before="0" w:after="0" w:line="240" w:lineRule="auto"/>
              <w:rPr>
                <w:color w:val="000000"/>
                <w:lang w:val="pt-PT"/>
              </w:rPr>
            </w:pPr>
            <w:r w:rsidRPr="00897848">
              <w:rPr>
                <w:color w:val="000000"/>
                <w:lang w:val="pt-PT"/>
              </w:rPr>
              <w:t>Gedimino pr. 30/12,</w:t>
            </w:r>
          </w:p>
          <w:p w:rsidR="00C70009" w:rsidRPr="00897848" w:rsidRDefault="00C70009" w:rsidP="007C0F57">
            <w:pPr>
              <w:spacing w:before="0" w:after="0" w:line="240" w:lineRule="auto"/>
              <w:rPr>
                <w:color w:val="000000"/>
                <w:lang w:val="pt-PT"/>
              </w:rPr>
            </w:pPr>
            <w:r w:rsidRPr="00897848">
              <w:rPr>
                <w:color w:val="000000"/>
                <w:lang w:val="pt-PT"/>
              </w:rPr>
              <w:t>LT-01104, Vilnius, Lithuania</w:t>
            </w:r>
          </w:p>
          <w:p w:rsidR="00C70009" w:rsidRPr="00897848" w:rsidRDefault="00C70009" w:rsidP="007C0F57">
            <w:pPr>
              <w:spacing w:before="0" w:after="0" w:line="240" w:lineRule="auto"/>
              <w:rPr>
                <w:color w:val="000000"/>
                <w:lang w:val="pt-PT"/>
              </w:rPr>
            </w:pPr>
            <w:r w:rsidRPr="00897848">
              <w:rPr>
                <w:color w:val="000000"/>
                <w:lang w:val="pt-PT"/>
              </w:rPr>
              <w:t>Tel: +370 5266 2933</w:t>
            </w:r>
          </w:p>
          <w:p w:rsidR="00C70009" w:rsidRPr="00897848" w:rsidRDefault="00C70009" w:rsidP="007C0F57">
            <w:pPr>
              <w:spacing w:before="0" w:after="0" w:line="240" w:lineRule="auto"/>
              <w:rPr>
                <w:color w:val="000000"/>
              </w:rPr>
            </w:pPr>
            <w:r w:rsidRPr="00897848">
              <w:rPr>
                <w:color w:val="000000"/>
              </w:rPr>
              <w:t>Fax: +370 5262 5940</w:t>
            </w:r>
          </w:p>
          <w:p w:rsidR="00C70009" w:rsidRPr="00897848" w:rsidRDefault="00C70009" w:rsidP="007C0F57">
            <w:pPr>
              <w:spacing w:before="0" w:after="0" w:line="240" w:lineRule="auto"/>
            </w:pPr>
            <w:r w:rsidRPr="00897848">
              <w:rPr>
                <w:color w:val="000000"/>
              </w:rPr>
              <w:t>(see doc.: 17911/13 COPEN 248 EUROJUST 149 EJN 80)</w:t>
            </w:r>
          </w:p>
        </w:tc>
        <w:tc>
          <w:tcPr>
            <w:tcW w:w="931" w:type="pct"/>
          </w:tcPr>
          <w:p w:rsidR="007C0F57" w:rsidRDefault="007C0F57" w:rsidP="007C0F57">
            <w:pPr>
              <w:spacing w:before="0" w:after="0" w:line="240" w:lineRule="auto"/>
            </w:pPr>
          </w:p>
          <w:p w:rsidR="002B3E80" w:rsidRDefault="002B3E80" w:rsidP="007C0F57">
            <w:pPr>
              <w:spacing w:before="0" w:after="0" w:line="240" w:lineRule="auto"/>
            </w:pPr>
          </w:p>
          <w:p w:rsidR="002B3E80" w:rsidRDefault="002B3E80" w:rsidP="007C0F57">
            <w:pPr>
              <w:spacing w:before="0" w:after="0" w:line="240" w:lineRule="auto"/>
            </w:pPr>
          </w:p>
          <w:p w:rsidR="00C70009" w:rsidRPr="00897848" w:rsidRDefault="00C70009" w:rsidP="007C0F57">
            <w:pPr>
              <w:spacing w:before="0" w:after="0" w:line="240" w:lineRule="auto"/>
            </w:pPr>
            <w:r w:rsidRPr="00897848">
              <w:lastRenderedPageBreak/>
              <w:t xml:space="preserve">will recognise/execute (only when this </w:t>
            </w:r>
            <w:r w:rsidR="00BF556B">
              <w:t xml:space="preserve">is </w:t>
            </w:r>
            <w:r w:rsidRPr="00897848">
              <w:t>consistent with the national law of the Republic of Lithuania)</w:t>
            </w:r>
          </w:p>
        </w:tc>
        <w:tc>
          <w:tcPr>
            <w:tcW w:w="812" w:type="pct"/>
          </w:tcPr>
          <w:p w:rsidR="007C0F57" w:rsidRDefault="007C0F57" w:rsidP="000C635F"/>
          <w:p w:rsidR="00C70009" w:rsidRPr="00897848" w:rsidRDefault="00C70009" w:rsidP="000C635F">
            <w:r w:rsidRPr="00897848">
              <w:lastRenderedPageBreak/>
              <w:t>Lithuanian, English</w:t>
            </w:r>
          </w:p>
        </w:tc>
        <w:tc>
          <w:tcPr>
            <w:tcW w:w="812" w:type="pct"/>
          </w:tcPr>
          <w:p w:rsidR="007C0F57" w:rsidRDefault="007C0F57" w:rsidP="008F03A7">
            <w:pPr>
              <w:spacing w:line="240" w:lineRule="auto"/>
              <w:rPr>
                <w:color w:val="000000"/>
              </w:rPr>
            </w:pPr>
          </w:p>
          <w:p w:rsidR="002B3E80" w:rsidRDefault="002B3E80" w:rsidP="002B3E80">
            <w:pPr>
              <w:spacing w:before="0" w:after="0" w:line="240" w:lineRule="auto"/>
              <w:rPr>
                <w:color w:val="000000"/>
              </w:rPr>
            </w:pPr>
          </w:p>
          <w:p w:rsidR="00C70009" w:rsidRPr="00897848" w:rsidRDefault="00604464" w:rsidP="002B3E80">
            <w:pPr>
              <w:spacing w:before="0" w:after="0" w:line="240" w:lineRule="auto"/>
            </w:pPr>
            <w:r>
              <w:rPr>
                <w:color w:val="000000"/>
              </w:rPr>
              <w:lastRenderedPageBreak/>
              <w:t>(see doc.</w:t>
            </w:r>
            <w:r w:rsidR="008F03A7" w:rsidRPr="00897848">
              <w:rPr>
                <w:color w:val="000000"/>
              </w:rPr>
              <w:t xml:space="preserve"> 17911/13 COPEN 248 EUROJUST 149 EJN 80)</w:t>
            </w:r>
          </w:p>
        </w:tc>
      </w:tr>
      <w:tr w:rsidR="00C70009" w:rsidRPr="000078F5" w:rsidTr="00604464">
        <w:tc>
          <w:tcPr>
            <w:tcW w:w="712" w:type="pct"/>
          </w:tcPr>
          <w:p w:rsidR="00C70009" w:rsidRPr="00591D7B" w:rsidRDefault="00C70009" w:rsidP="000C635F">
            <w:r w:rsidRPr="00591D7B">
              <w:lastRenderedPageBreak/>
              <w:t>LUXEMBOURG</w:t>
            </w:r>
          </w:p>
        </w:tc>
        <w:tc>
          <w:tcPr>
            <w:tcW w:w="768" w:type="pct"/>
          </w:tcPr>
          <w:p w:rsidR="00C70009" w:rsidRDefault="00C70009" w:rsidP="000C635F"/>
        </w:tc>
        <w:tc>
          <w:tcPr>
            <w:tcW w:w="966" w:type="pct"/>
          </w:tcPr>
          <w:p w:rsidR="00C70009" w:rsidRDefault="00C70009" w:rsidP="000C635F">
            <w:pPr>
              <w:spacing w:line="240" w:lineRule="auto"/>
            </w:pPr>
          </w:p>
        </w:tc>
        <w:tc>
          <w:tcPr>
            <w:tcW w:w="931" w:type="pct"/>
          </w:tcPr>
          <w:p w:rsidR="00C70009" w:rsidRDefault="00C70009" w:rsidP="000C635F">
            <w:r>
              <w:t xml:space="preserve">will not recognise/execute </w:t>
            </w:r>
          </w:p>
          <w:p w:rsidR="00C70009" w:rsidRDefault="00C70009" w:rsidP="000C635F">
            <w:r>
              <w:t xml:space="preserve">(see </w:t>
            </w:r>
            <w:r w:rsidR="00BF556B">
              <w:t xml:space="preserve">doc. </w:t>
            </w:r>
            <w:r>
              <w:t>13075/06 COPEN 98)</w:t>
            </w:r>
          </w:p>
        </w:tc>
        <w:tc>
          <w:tcPr>
            <w:tcW w:w="812" w:type="pct"/>
          </w:tcPr>
          <w:p w:rsidR="00C70009" w:rsidRDefault="00C70009" w:rsidP="000C635F"/>
        </w:tc>
        <w:tc>
          <w:tcPr>
            <w:tcW w:w="812" w:type="pct"/>
          </w:tcPr>
          <w:p w:rsidR="00C70009" w:rsidRDefault="00C70009" w:rsidP="00073206"/>
        </w:tc>
      </w:tr>
      <w:tr w:rsidR="00C70009" w:rsidRPr="000078F5" w:rsidTr="00604464">
        <w:tc>
          <w:tcPr>
            <w:tcW w:w="712" w:type="pct"/>
          </w:tcPr>
          <w:p w:rsidR="00C70009" w:rsidRPr="00591D7B" w:rsidRDefault="00C70009" w:rsidP="000C635F">
            <w:r w:rsidRPr="00591D7B">
              <w:t>HUNGARY</w:t>
            </w:r>
          </w:p>
        </w:tc>
        <w:tc>
          <w:tcPr>
            <w:tcW w:w="768" w:type="pct"/>
          </w:tcPr>
          <w:p w:rsidR="00C70009" w:rsidRDefault="00C70009" w:rsidP="000C635F">
            <w:pPr>
              <w:spacing w:line="240" w:lineRule="auto"/>
            </w:pPr>
            <w:r>
              <w:t xml:space="preserve">Implemented </w:t>
            </w:r>
          </w:p>
          <w:p w:rsidR="00C70009" w:rsidRPr="007E494C" w:rsidRDefault="00C70009" w:rsidP="000C635F">
            <w:pPr>
              <w:spacing w:line="240" w:lineRule="auto"/>
              <w:rPr>
                <w:b/>
                <w:bCs/>
                <w:i/>
                <w:iCs/>
                <w:sz w:val="22"/>
                <w:szCs w:val="22"/>
              </w:rPr>
            </w:pPr>
            <w:r w:rsidRPr="007E494C">
              <w:rPr>
                <w:b/>
                <w:bCs/>
                <w:i/>
                <w:iCs/>
                <w:sz w:val="22"/>
                <w:szCs w:val="22"/>
              </w:rPr>
              <w:t>(official notification containing relevant declarations will be submitted to GSC)</w:t>
            </w:r>
          </w:p>
          <w:p w:rsidR="00C70009" w:rsidRDefault="00C70009" w:rsidP="000C635F">
            <w:pPr>
              <w:spacing w:line="240" w:lineRule="auto"/>
            </w:pPr>
          </w:p>
          <w:p w:rsidR="00C70009" w:rsidRDefault="00C70009" w:rsidP="000C635F">
            <w:pPr>
              <w:spacing w:line="240" w:lineRule="auto"/>
            </w:pPr>
            <w:r>
              <w:t>Entry into force of legislation :</w:t>
            </w:r>
          </w:p>
          <w:p w:rsidR="00C70009" w:rsidRDefault="00C70009" w:rsidP="000C635F">
            <w:pPr>
              <w:spacing w:line="240" w:lineRule="auto"/>
            </w:pPr>
            <w:r>
              <w:t>8 January 2009</w:t>
            </w:r>
          </w:p>
          <w:p w:rsidR="00C70009" w:rsidRDefault="00C70009" w:rsidP="000C635F">
            <w:pPr>
              <w:spacing w:line="240" w:lineRule="auto"/>
            </w:pPr>
          </w:p>
        </w:tc>
        <w:tc>
          <w:tcPr>
            <w:tcW w:w="966" w:type="pct"/>
          </w:tcPr>
          <w:p w:rsidR="00C70009" w:rsidRPr="00A4303B" w:rsidRDefault="00C70009" w:rsidP="00C83F95">
            <w:pPr>
              <w:shd w:val="clear" w:color="auto" w:fill="FFFFFF"/>
              <w:spacing w:line="240" w:lineRule="auto"/>
            </w:pPr>
            <w:r w:rsidRPr="00A4303B">
              <w:t>If Hungary is the executing State, implementation measures are undertaken by the local court operating in the County Court. The competence of the local court grounds on</w:t>
            </w:r>
          </w:p>
          <w:p w:rsidR="00C70009" w:rsidRPr="00A4303B" w:rsidRDefault="00C70009" w:rsidP="00C83F95">
            <w:pPr>
              <w:shd w:val="clear" w:color="auto" w:fill="FFFFFF"/>
              <w:spacing w:line="240" w:lineRule="auto"/>
            </w:pPr>
            <w:r w:rsidRPr="00A4303B">
              <w:t>a) the location of the asset or item which is covered by the order from the Member State to implement confiscation, or</w:t>
            </w:r>
          </w:p>
          <w:p w:rsidR="00C70009" w:rsidRPr="00A4303B" w:rsidRDefault="00C70009" w:rsidP="00C83F95">
            <w:pPr>
              <w:shd w:val="clear" w:color="auto" w:fill="FFFFFF"/>
              <w:spacing w:line="240" w:lineRule="auto"/>
            </w:pPr>
            <w:r w:rsidRPr="00A4303B">
              <w:t>b) if the location of the asset or item is unknown</w:t>
            </w:r>
          </w:p>
          <w:p w:rsidR="00C70009" w:rsidRPr="00A4303B" w:rsidRDefault="00C70009" w:rsidP="00C83F95">
            <w:pPr>
              <w:shd w:val="clear" w:color="auto" w:fill="FFFFFF"/>
              <w:spacing w:line="240" w:lineRule="auto"/>
            </w:pPr>
            <w:proofErr w:type="spellStart"/>
            <w:r w:rsidRPr="00A4303B">
              <w:t>ba</w:t>
            </w:r>
            <w:proofErr w:type="spellEnd"/>
            <w:r w:rsidRPr="00A4303B">
              <w:t xml:space="preserve">) the place of abode of the accused, or in the absence of such, the place </w:t>
            </w:r>
            <w:r w:rsidRPr="00A4303B">
              <w:lastRenderedPageBreak/>
              <w:t>of residence, or</w:t>
            </w:r>
          </w:p>
          <w:p w:rsidR="00C70009" w:rsidRPr="00A4303B" w:rsidRDefault="00C70009" w:rsidP="00C83F95">
            <w:pPr>
              <w:shd w:val="clear" w:color="auto" w:fill="FFFFFF"/>
              <w:spacing w:line="240" w:lineRule="auto"/>
            </w:pPr>
            <w:r w:rsidRPr="00A4303B">
              <w:t>bb) if the order from the Member State to implement confiscation is directed against a legal entity, the seat of the legal entity.</w:t>
            </w:r>
          </w:p>
          <w:p w:rsidR="00C70009" w:rsidRPr="00A4303B" w:rsidRDefault="00C70009" w:rsidP="00C83F95">
            <w:pPr>
              <w:shd w:val="clear" w:color="auto" w:fill="FFFFFF"/>
              <w:spacing w:line="240" w:lineRule="auto"/>
            </w:pPr>
            <w:r w:rsidRPr="00A4303B">
              <w:t>The implementation measures are undertaken by the Central District Court of Buda for matters in Budapest. If the competent court cannot be otherwise established, or if the asset which is the subject of the sanction for definitive deprivation, the order is accepted by the Central District Court of Buda, which takes measures to enforce the order.</w:t>
            </w:r>
          </w:p>
          <w:p w:rsidR="00C70009" w:rsidRPr="00A4303B" w:rsidRDefault="00C70009" w:rsidP="00C83F95">
            <w:pPr>
              <w:shd w:val="clear" w:color="auto" w:fill="FFFFFF"/>
              <w:spacing w:line="240" w:lineRule="auto"/>
            </w:pPr>
            <w:r w:rsidRPr="00A4303B">
              <w:t xml:space="preserve">If Hungary is the issuing state, a court under whose </w:t>
            </w:r>
            <w:r w:rsidRPr="00A4303B">
              <w:lastRenderedPageBreak/>
              <w:t>procedures confiscation or confiscation of assets may be implemented may take measures for implementation of confiscation of an item used, or intended to be used, in any Member State of the European Union by making a direct request towards the judicial authority in the Member State within whose scope and competency the matter falls.</w:t>
            </w:r>
          </w:p>
          <w:p w:rsidR="00C70009" w:rsidRDefault="00C70009" w:rsidP="000C635F">
            <w:pPr>
              <w:spacing w:line="240" w:lineRule="auto"/>
            </w:pPr>
          </w:p>
        </w:tc>
        <w:tc>
          <w:tcPr>
            <w:tcW w:w="931" w:type="pct"/>
          </w:tcPr>
          <w:p w:rsidR="00C70009" w:rsidRDefault="00C70009" w:rsidP="000C635F"/>
        </w:tc>
        <w:tc>
          <w:tcPr>
            <w:tcW w:w="812" w:type="pct"/>
          </w:tcPr>
          <w:p w:rsidR="00C70009" w:rsidRDefault="00C70009" w:rsidP="000C635F">
            <w:r>
              <w:t>Hungarian</w:t>
            </w:r>
          </w:p>
        </w:tc>
        <w:tc>
          <w:tcPr>
            <w:tcW w:w="812" w:type="pct"/>
          </w:tcPr>
          <w:p w:rsidR="00C70009" w:rsidRDefault="00C70009" w:rsidP="00073206">
            <w:r>
              <w:t>Yes</w:t>
            </w:r>
          </w:p>
        </w:tc>
      </w:tr>
    </w:tbl>
    <w:p w:rsidR="008A1DBD" w:rsidRDefault="008A1DBD" w:rsidP="008A1DBD">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57"/>
        <w:gridCol w:w="2754"/>
        <w:gridCol w:w="2402"/>
        <w:gridCol w:w="2399"/>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66"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31"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AD572D">
        <w:tc>
          <w:tcPr>
            <w:tcW w:w="712" w:type="pct"/>
          </w:tcPr>
          <w:p w:rsidR="00C70009" w:rsidRPr="00591D7B" w:rsidRDefault="00C70009" w:rsidP="000C635F">
            <w:r w:rsidRPr="00591D7B">
              <w:t>MALTA</w:t>
            </w:r>
          </w:p>
        </w:tc>
        <w:tc>
          <w:tcPr>
            <w:tcW w:w="768" w:type="pct"/>
          </w:tcPr>
          <w:p w:rsidR="00C70009" w:rsidRDefault="00C70009" w:rsidP="000C635F">
            <w:pPr>
              <w:spacing w:line="240" w:lineRule="auto"/>
            </w:pPr>
            <w:r>
              <w:t>Implemented</w:t>
            </w:r>
          </w:p>
          <w:p w:rsidR="00C70009" w:rsidRDefault="00C70009" w:rsidP="000C635F">
            <w:pPr>
              <w:spacing w:line="240" w:lineRule="auto"/>
            </w:pPr>
          </w:p>
          <w:p w:rsidR="00C70009" w:rsidRDefault="00C70009" w:rsidP="000C635F">
            <w:pPr>
              <w:spacing w:line="240" w:lineRule="auto"/>
            </w:pPr>
            <w:r>
              <w:t>Entered into force on:</w:t>
            </w:r>
          </w:p>
          <w:p w:rsidR="00C70009" w:rsidRDefault="00C70009" w:rsidP="000F3208">
            <w:pPr>
              <w:spacing w:line="240" w:lineRule="auto"/>
            </w:pPr>
            <w:r>
              <w:t>22 October 2010</w:t>
            </w:r>
            <w:r w:rsidR="000F3208">
              <w:t>;</w:t>
            </w:r>
            <w:r>
              <w:t xml:space="preserve"> </w:t>
            </w:r>
            <w:r w:rsidR="000F3208">
              <w:t>applies</w:t>
            </w:r>
            <w:r>
              <w:t xml:space="preserve"> to decisions issued after 24 November 2008</w:t>
            </w:r>
          </w:p>
          <w:p w:rsidR="00C70009" w:rsidRDefault="00C70009" w:rsidP="000C635F"/>
        </w:tc>
        <w:tc>
          <w:tcPr>
            <w:tcW w:w="966" w:type="pct"/>
          </w:tcPr>
          <w:p w:rsidR="00C70009" w:rsidRPr="00440DF0" w:rsidRDefault="00C70009" w:rsidP="000C635F">
            <w:pPr>
              <w:spacing w:line="240" w:lineRule="auto"/>
            </w:pPr>
            <w:r w:rsidRPr="00440DF0">
              <w:t>Office of the Attorney General</w:t>
            </w:r>
          </w:p>
          <w:p w:rsidR="00C70009" w:rsidRPr="00440DF0" w:rsidRDefault="00C70009" w:rsidP="000F3208">
            <w:pPr>
              <w:spacing w:before="0" w:after="0" w:line="240" w:lineRule="auto"/>
            </w:pPr>
            <w:r w:rsidRPr="00440DF0">
              <w:t>The Palace</w:t>
            </w:r>
          </w:p>
          <w:p w:rsidR="00C70009" w:rsidRPr="00440DF0" w:rsidRDefault="00C70009" w:rsidP="000F3208">
            <w:pPr>
              <w:spacing w:before="0" w:after="0" w:line="240" w:lineRule="auto"/>
              <w:rPr>
                <w:lang w:val="it-IT"/>
              </w:rPr>
            </w:pPr>
            <w:r w:rsidRPr="00440DF0">
              <w:rPr>
                <w:lang w:val="it-IT"/>
              </w:rPr>
              <w:t>Valletta , Malta</w:t>
            </w:r>
          </w:p>
          <w:p w:rsidR="00C70009" w:rsidRPr="00440DF0" w:rsidRDefault="00C70009" w:rsidP="000F3208">
            <w:pPr>
              <w:spacing w:before="0" w:after="0" w:line="240" w:lineRule="auto"/>
              <w:rPr>
                <w:lang w:val="it-IT"/>
              </w:rPr>
            </w:pPr>
            <w:r w:rsidRPr="00440DF0">
              <w:rPr>
                <w:lang w:val="it-IT"/>
              </w:rPr>
              <w:t>Tel: +356 2568 3144</w:t>
            </w:r>
          </w:p>
          <w:p w:rsidR="00C70009" w:rsidRPr="00440DF0" w:rsidRDefault="00C70009" w:rsidP="000F3208">
            <w:pPr>
              <w:spacing w:before="0" w:after="0" w:line="240" w:lineRule="auto"/>
              <w:rPr>
                <w:lang w:val="it-IT"/>
              </w:rPr>
            </w:pPr>
            <w:r w:rsidRPr="00440DF0">
              <w:rPr>
                <w:lang w:val="it-IT"/>
              </w:rPr>
              <w:t>Fax: +356 2568 3103</w:t>
            </w:r>
          </w:p>
          <w:p w:rsidR="00C70009" w:rsidRPr="00440DF0" w:rsidRDefault="00C70009" w:rsidP="000F3208">
            <w:pPr>
              <w:spacing w:before="0" w:after="0" w:line="240" w:lineRule="auto"/>
              <w:rPr>
                <w:lang w:val="it-IT"/>
              </w:rPr>
            </w:pPr>
            <w:r w:rsidRPr="00440DF0">
              <w:rPr>
                <w:lang w:val="it-IT"/>
              </w:rPr>
              <w:t>E-mail: agmla.mjha@gov.mt</w:t>
            </w:r>
          </w:p>
          <w:p w:rsidR="00C70009" w:rsidRPr="00440DF0" w:rsidRDefault="00BF556B" w:rsidP="000C635F">
            <w:pPr>
              <w:spacing w:line="240" w:lineRule="auto"/>
              <w:rPr>
                <w:lang w:val="it-IT"/>
              </w:rPr>
            </w:pPr>
            <w:r>
              <w:rPr>
                <w:lang w:val="it-IT"/>
              </w:rPr>
              <w:t xml:space="preserve">(doc. </w:t>
            </w:r>
            <w:r w:rsidR="00C70009" w:rsidRPr="00440DF0">
              <w:rPr>
                <w:lang w:val="it-IT"/>
              </w:rPr>
              <w:t>16711/10 COPEN 263)</w:t>
            </w:r>
          </w:p>
        </w:tc>
        <w:tc>
          <w:tcPr>
            <w:tcW w:w="931" w:type="pct"/>
          </w:tcPr>
          <w:p w:rsidR="00C70009" w:rsidRPr="00440DF0" w:rsidRDefault="00C70009" w:rsidP="000C635F">
            <w:pPr>
              <w:rPr>
                <w:lang w:val="it-IT"/>
              </w:rPr>
            </w:pPr>
          </w:p>
        </w:tc>
        <w:tc>
          <w:tcPr>
            <w:tcW w:w="812" w:type="pct"/>
          </w:tcPr>
          <w:p w:rsidR="00C70009" w:rsidRDefault="00C70009" w:rsidP="000C635F">
            <w:r>
              <w:t>Maltese/English</w:t>
            </w:r>
          </w:p>
        </w:tc>
        <w:tc>
          <w:tcPr>
            <w:tcW w:w="812" w:type="pct"/>
          </w:tcPr>
          <w:p w:rsidR="00C70009" w:rsidRDefault="00BF556B" w:rsidP="00FC1554">
            <w:pPr>
              <w:spacing w:line="240" w:lineRule="auto"/>
            </w:pPr>
            <w:r>
              <w:rPr>
                <w:lang w:val="it-IT"/>
              </w:rPr>
              <w:t>(doc.</w:t>
            </w:r>
            <w:r w:rsidR="00FC1554" w:rsidRPr="00440DF0">
              <w:rPr>
                <w:lang w:val="it-IT"/>
              </w:rPr>
              <w:t>16711/10 COPEN 263)</w:t>
            </w:r>
          </w:p>
        </w:tc>
      </w:tr>
    </w:tbl>
    <w:p w:rsidR="00897848" w:rsidRDefault="0089784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177"/>
        <w:gridCol w:w="3277"/>
        <w:gridCol w:w="2713"/>
        <w:gridCol w:w="2308"/>
        <w:gridCol w:w="2302"/>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4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49"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B1311">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AD572D">
        <w:tc>
          <w:tcPr>
            <w:tcW w:w="712" w:type="pct"/>
          </w:tcPr>
          <w:p w:rsidR="00C70009" w:rsidRDefault="00C70009" w:rsidP="000C635F">
            <w:r w:rsidRPr="00591D7B">
              <w:t>NETHERLANDS</w:t>
            </w:r>
          </w:p>
          <w:p w:rsidR="00C70009" w:rsidRDefault="00C70009" w:rsidP="000C635F"/>
          <w:p w:rsidR="00C70009" w:rsidRDefault="00C70009" w:rsidP="000C635F"/>
          <w:p w:rsidR="00C70009" w:rsidRDefault="00C70009" w:rsidP="000C635F"/>
          <w:p w:rsidR="00C70009" w:rsidRDefault="00C70009" w:rsidP="000C635F"/>
          <w:p w:rsidR="00C70009" w:rsidRDefault="00C70009" w:rsidP="000C635F"/>
          <w:p w:rsidR="00C70009" w:rsidRPr="00591D7B" w:rsidRDefault="00C70009" w:rsidP="000C635F"/>
        </w:tc>
        <w:tc>
          <w:tcPr>
            <w:tcW w:w="768" w:type="pct"/>
          </w:tcPr>
          <w:p w:rsidR="00C70009" w:rsidRDefault="00C70009" w:rsidP="000C635F">
            <w:r>
              <w:t>Implemented</w:t>
            </w:r>
          </w:p>
          <w:p w:rsidR="00C70009" w:rsidRDefault="00C70009" w:rsidP="000C635F">
            <w:pPr>
              <w:spacing w:line="240" w:lineRule="auto"/>
            </w:pPr>
            <w:r>
              <w:t>Entry into force of legislation :</w:t>
            </w:r>
          </w:p>
          <w:p w:rsidR="00C70009" w:rsidRDefault="00C70009" w:rsidP="000C635F">
            <w:r>
              <w:t>1 June 2009</w:t>
            </w:r>
          </w:p>
        </w:tc>
        <w:tc>
          <w:tcPr>
            <w:tcW w:w="949" w:type="pct"/>
          </w:tcPr>
          <w:p w:rsidR="00C70009" w:rsidRPr="008168F9" w:rsidRDefault="00C70009" w:rsidP="000C635F">
            <w:pPr>
              <w:spacing w:line="240" w:lineRule="auto"/>
            </w:pPr>
            <w:r w:rsidRPr="008168F9">
              <w:t>Centraal Justitieel Incassobureau</w:t>
            </w:r>
          </w:p>
          <w:p w:rsidR="00C70009" w:rsidRPr="008168F9" w:rsidRDefault="00C70009" w:rsidP="000C635F">
            <w:pPr>
              <w:spacing w:line="240" w:lineRule="auto"/>
            </w:pPr>
            <w:r w:rsidRPr="008168F9">
              <w:t xml:space="preserve">Afdeling Executie Grensoverschrijdende Sancties </w:t>
            </w:r>
            <w:r w:rsidRPr="008168F9">
              <w:br/>
              <w:t xml:space="preserve">Centrale Autoriteit </w:t>
            </w:r>
            <w:r w:rsidRPr="008168F9">
              <w:br/>
              <w:t>Postbus 185</w:t>
            </w:r>
            <w:r w:rsidRPr="008168F9">
              <w:br/>
              <w:t xml:space="preserve">8900 AD Leeuwarden  </w:t>
            </w:r>
            <w:r w:rsidRPr="008168F9">
              <w:tab/>
            </w:r>
          </w:p>
          <w:p w:rsidR="00C70009" w:rsidRDefault="00C70009" w:rsidP="000C635F">
            <w:pPr>
              <w:spacing w:line="240" w:lineRule="auto"/>
              <w:rPr>
                <w:lang w:val="fr-BE"/>
              </w:rPr>
            </w:pPr>
            <w:r w:rsidRPr="000078F5">
              <w:rPr>
                <w:lang w:val="fr-BE"/>
              </w:rPr>
              <w:t>T: 0031 (0) 58 - 253 3700</w:t>
            </w:r>
            <w:r w:rsidRPr="000078F5">
              <w:rPr>
                <w:lang w:val="fr-BE"/>
              </w:rPr>
              <w:br/>
              <w:t xml:space="preserve">Fax: 0031 (0) 58 - 253 3030 </w:t>
            </w:r>
          </w:p>
          <w:p w:rsidR="00C70009" w:rsidRPr="0012598A" w:rsidRDefault="00C70009" w:rsidP="00BF556B">
            <w:pPr>
              <w:spacing w:line="240" w:lineRule="auto"/>
              <w:rPr>
                <w:lang w:val="fr-BE"/>
              </w:rPr>
            </w:pPr>
            <w:r w:rsidRPr="0012598A">
              <w:rPr>
                <w:lang w:val="fr-BE"/>
              </w:rPr>
              <w:t>E-mail: centralauthority@cjib.minjus.nl</w:t>
            </w:r>
          </w:p>
          <w:p w:rsidR="00C70009" w:rsidRPr="00FC4AA7" w:rsidRDefault="00C70009" w:rsidP="000C635F">
            <w:pPr>
              <w:spacing w:line="240" w:lineRule="auto"/>
              <w:rPr>
                <w:lang w:val="pl-PL"/>
              </w:rPr>
            </w:pPr>
            <w:r w:rsidRPr="00FC4AA7">
              <w:rPr>
                <w:lang w:val="pl-PL"/>
              </w:rPr>
              <w:t>(see doc. 12709/09)</w:t>
            </w:r>
          </w:p>
        </w:tc>
        <w:tc>
          <w:tcPr>
            <w:tcW w:w="949" w:type="pct"/>
          </w:tcPr>
          <w:p w:rsidR="00C70009" w:rsidRPr="00FC4AA7" w:rsidRDefault="00C70009" w:rsidP="000C635F">
            <w:pPr>
              <w:rPr>
                <w:lang w:val="pl-PL"/>
              </w:rPr>
            </w:pPr>
          </w:p>
        </w:tc>
        <w:tc>
          <w:tcPr>
            <w:tcW w:w="812" w:type="pct"/>
          </w:tcPr>
          <w:p w:rsidR="00C70009" w:rsidRPr="00F93D8B" w:rsidRDefault="00C70009" w:rsidP="000C635F">
            <w:pPr>
              <w:spacing w:line="240" w:lineRule="auto"/>
            </w:pPr>
            <w:r>
              <w:t>E</w:t>
            </w:r>
            <w:r w:rsidRPr="00F93D8B">
              <w:t xml:space="preserve">nglish and </w:t>
            </w:r>
            <w:r>
              <w:t>D</w:t>
            </w:r>
            <w:r w:rsidRPr="00F93D8B">
              <w:t xml:space="preserve">utch and  all other official EU languages </w:t>
            </w:r>
            <w:r>
              <w:t>if together with a EN translation</w:t>
            </w:r>
          </w:p>
        </w:tc>
        <w:tc>
          <w:tcPr>
            <w:tcW w:w="812" w:type="pct"/>
          </w:tcPr>
          <w:p w:rsidR="00C70009" w:rsidRDefault="005D6614" w:rsidP="00073206">
            <w:r w:rsidRPr="00FC4AA7">
              <w:rPr>
                <w:lang w:val="pl-PL"/>
              </w:rPr>
              <w:t>(see doc. 12709/09)</w:t>
            </w:r>
          </w:p>
        </w:tc>
      </w:tr>
      <w:tr w:rsidR="00C70009" w:rsidRPr="000078F5" w:rsidTr="00AD572D">
        <w:tc>
          <w:tcPr>
            <w:tcW w:w="712" w:type="pct"/>
          </w:tcPr>
          <w:p w:rsidR="00C70009" w:rsidRDefault="00C70009" w:rsidP="000C635F">
            <w:r w:rsidRPr="00591D7B">
              <w:t>AUSTRIA</w:t>
            </w:r>
          </w:p>
          <w:p w:rsidR="00C70009" w:rsidRPr="00591D7B" w:rsidRDefault="00C70009" w:rsidP="000C635F"/>
        </w:tc>
        <w:tc>
          <w:tcPr>
            <w:tcW w:w="768" w:type="pct"/>
          </w:tcPr>
          <w:p w:rsidR="00C70009" w:rsidRDefault="00C70009" w:rsidP="000C635F">
            <w:pPr>
              <w:spacing w:line="240" w:lineRule="auto"/>
            </w:pPr>
            <w:r>
              <w:t xml:space="preserve">Implemented </w:t>
            </w:r>
          </w:p>
          <w:p w:rsidR="00C70009" w:rsidRDefault="00C70009" w:rsidP="000C635F">
            <w:pPr>
              <w:spacing w:line="240" w:lineRule="auto"/>
            </w:pPr>
            <w:r>
              <w:t>Entry into force of legislation :</w:t>
            </w:r>
          </w:p>
          <w:p w:rsidR="00C70009" w:rsidRDefault="00C70009" w:rsidP="000C635F">
            <w:pPr>
              <w:spacing w:line="240" w:lineRule="auto"/>
            </w:pPr>
            <w:r>
              <w:t>1 July 2007</w:t>
            </w:r>
          </w:p>
        </w:tc>
        <w:tc>
          <w:tcPr>
            <w:tcW w:w="949" w:type="pct"/>
          </w:tcPr>
          <w:p w:rsidR="00C70009" w:rsidRPr="00701A6F" w:rsidRDefault="00C70009" w:rsidP="000C635F">
            <w:pPr>
              <w:spacing w:line="240" w:lineRule="auto"/>
            </w:pPr>
            <w:r w:rsidRPr="00701A6F">
              <w:t>Austria as the issuing state:</w:t>
            </w:r>
          </w:p>
          <w:p w:rsidR="00C70009" w:rsidRDefault="00C70009" w:rsidP="000C635F">
            <w:pPr>
              <w:spacing w:line="240" w:lineRule="auto"/>
            </w:pPr>
            <w:r w:rsidRPr="00BA1A37">
              <w:t>district courts (</w:t>
            </w:r>
            <w:proofErr w:type="spellStart"/>
            <w:r w:rsidRPr="00BA1A37">
              <w:t>Bezirksgerichte</w:t>
            </w:r>
            <w:proofErr w:type="spellEnd"/>
            <w:r w:rsidRPr="00BA1A37">
              <w:t>) and the regional courts (Landesgerichte)</w:t>
            </w:r>
          </w:p>
          <w:p w:rsidR="00C70009" w:rsidRDefault="00C70009" w:rsidP="000C635F">
            <w:pPr>
              <w:spacing w:line="240" w:lineRule="auto"/>
            </w:pPr>
          </w:p>
          <w:p w:rsidR="00C70009" w:rsidRPr="00701A6F" w:rsidRDefault="00C70009" w:rsidP="000C635F">
            <w:pPr>
              <w:spacing w:line="240" w:lineRule="auto"/>
            </w:pPr>
            <w:r w:rsidRPr="00701A6F">
              <w:lastRenderedPageBreak/>
              <w:t>Austria as the executing state:</w:t>
            </w:r>
          </w:p>
          <w:p w:rsidR="00C70009" w:rsidRDefault="00C70009" w:rsidP="000C635F">
            <w:pPr>
              <w:spacing w:line="240" w:lineRule="auto"/>
            </w:pPr>
            <w:r w:rsidRPr="00BA1A37">
              <w:t>regional courts (Landesgerichte)</w:t>
            </w:r>
          </w:p>
          <w:p w:rsidR="00C70009" w:rsidRDefault="00C70009" w:rsidP="000C635F">
            <w:pPr>
              <w:spacing w:line="240" w:lineRule="auto"/>
            </w:pPr>
          </w:p>
          <w:p w:rsidR="00C70009" w:rsidRDefault="00C70009" w:rsidP="000C635F">
            <w:pPr>
              <w:spacing w:line="240" w:lineRule="auto"/>
            </w:pPr>
            <w:r>
              <w:t xml:space="preserve">(for a detailed list see </w:t>
            </w:r>
            <w:r w:rsidR="00BF556B">
              <w:t xml:space="preserve">doc. </w:t>
            </w:r>
            <w:r>
              <w:t>5880/08 COPEN 18)</w:t>
            </w:r>
          </w:p>
        </w:tc>
        <w:tc>
          <w:tcPr>
            <w:tcW w:w="949" w:type="pct"/>
          </w:tcPr>
          <w:p w:rsidR="00C70009" w:rsidRDefault="00C70009" w:rsidP="000C635F">
            <w:pPr>
              <w:spacing w:line="240" w:lineRule="auto"/>
            </w:pPr>
            <w:r>
              <w:lastRenderedPageBreak/>
              <w:t xml:space="preserve">will not recognise/execute </w:t>
            </w:r>
          </w:p>
          <w:p w:rsidR="00C70009" w:rsidRDefault="00C70009" w:rsidP="000C635F">
            <w:pPr>
              <w:spacing w:line="240" w:lineRule="auto"/>
            </w:pPr>
          </w:p>
          <w:p w:rsidR="00C70009" w:rsidRDefault="00C70009" w:rsidP="000C635F">
            <w:pPr>
              <w:spacing w:line="240" w:lineRule="auto"/>
            </w:pPr>
            <w:r>
              <w:t xml:space="preserve">(see </w:t>
            </w:r>
            <w:r w:rsidR="00BF556B">
              <w:t xml:space="preserve">doc. </w:t>
            </w:r>
            <w:r>
              <w:t>5880/08 COPEN 18)</w:t>
            </w:r>
          </w:p>
        </w:tc>
        <w:tc>
          <w:tcPr>
            <w:tcW w:w="812" w:type="pct"/>
          </w:tcPr>
          <w:p w:rsidR="00C70009" w:rsidRDefault="00C70009" w:rsidP="000C635F">
            <w:pPr>
              <w:spacing w:line="240" w:lineRule="auto"/>
            </w:pPr>
            <w:r>
              <w:t xml:space="preserve">German. </w:t>
            </w:r>
            <w:r w:rsidRPr="00BA1A37">
              <w:t>Certificates in other languages will be accepted on a reciprocal basis</w:t>
            </w:r>
          </w:p>
          <w:p w:rsidR="00C70009" w:rsidRDefault="00C70009" w:rsidP="000C635F">
            <w:pPr>
              <w:spacing w:line="240" w:lineRule="auto"/>
            </w:pPr>
          </w:p>
          <w:p w:rsidR="00C70009" w:rsidRDefault="00C70009" w:rsidP="000C635F">
            <w:pPr>
              <w:spacing w:line="240" w:lineRule="auto"/>
            </w:pPr>
            <w:r>
              <w:lastRenderedPageBreak/>
              <w:t xml:space="preserve">(see </w:t>
            </w:r>
            <w:r w:rsidR="00BF556B">
              <w:t xml:space="preserve">doc. </w:t>
            </w:r>
            <w:r>
              <w:t>5880/08 COPEN 18)</w:t>
            </w:r>
          </w:p>
          <w:p w:rsidR="00C70009" w:rsidRDefault="00C70009" w:rsidP="000C635F"/>
        </w:tc>
        <w:tc>
          <w:tcPr>
            <w:tcW w:w="812" w:type="pct"/>
          </w:tcPr>
          <w:p w:rsidR="005D6614" w:rsidRDefault="005D6614" w:rsidP="005D6614">
            <w:pPr>
              <w:spacing w:line="240" w:lineRule="auto"/>
            </w:pPr>
            <w:r>
              <w:lastRenderedPageBreak/>
              <w:t xml:space="preserve">(see </w:t>
            </w:r>
            <w:r w:rsidR="00BF556B">
              <w:t xml:space="preserve">doc. </w:t>
            </w:r>
            <w:r>
              <w:t>5880/08 COPEN 18)</w:t>
            </w:r>
          </w:p>
          <w:p w:rsidR="00C70009" w:rsidRDefault="00C70009" w:rsidP="00073206"/>
        </w:tc>
      </w:tr>
      <w:tr w:rsidR="00C70009" w:rsidRPr="000078F5" w:rsidTr="00AD572D">
        <w:tc>
          <w:tcPr>
            <w:tcW w:w="712" w:type="pct"/>
          </w:tcPr>
          <w:p w:rsidR="00C70009" w:rsidRPr="00591D7B" w:rsidRDefault="00C70009" w:rsidP="000C635F">
            <w:r w:rsidRPr="00591D7B">
              <w:lastRenderedPageBreak/>
              <w:t>POLAND</w:t>
            </w:r>
          </w:p>
        </w:tc>
        <w:tc>
          <w:tcPr>
            <w:tcW w:w="768" w:type="pct"/>
          </w:tcPr>
          <w:p w:rsidR="00C70009" w:rsidRDefault="00C70009" w:rsidP="000C635F">
            <w:pPr>
              <w:spacing w:line="240" w:lineRule="auto"/>
            </w:pPr>
            <w:r>
              <w:t>Implemented</w:t>
            </w:r>
          </w:p>
          <w:p w:rsidR="00C70009" w:rsidRDefault="00C70009" w:rsidP="000C635F">
            <w:pPr>
              <w:spacing w:line="240" w:lineRule="auto"/>
            </w:pPr>
            <w:r>
              <w:t xml:space="preserve"> </w:t>
            </w:r>
          </w:p>
          <w:p w:rsidR="00C70009" w:rsidRDefault="00C70009" w:rsidP="000C635F">
            <w:pPr>
              <w:spacing w:line="240" w:lineRule="auto"/>
            </w:pPr>
            <w:r>
              <w:t>Entry into force of legislation :</w:t>
            </w:r>
          </w:p>
          <w:p w:rsidR="00C70009" w:rsidRDefault="00C70009" w:rsidP="000C635F">
            <w:pPr>
              <w:spacing w:line="240" w:lineRule="auto"/>
            </w:pPr>
            <w:r>
              <w:t xml:space="preserve">5 February 2009 </w:t>
            </w:r>
          </w:p>
        </w:tc>
        <w:tc>
          <w:tcPr>
            <w:tcW w:w="949" w:type="pct"/>
          </w:tcPr>
          <w:p w:rsidR="00C70009" w:rsidRPr="00B14D35" w:rsidRDefault="00C70009" w:rsidP="000C635F">
            <w:pPr>
              <w:spacing w:line="240" w:lineRule="auto"/>
            </w:pPr>
            <w:r w:rsidRPr="00B14D35">
              <w:t xml:space="preserve">- </w:t>
            </w:r>
            <w:r w:rsidRPr="00701A6F">
              <w:t>Issuing state</w:t>
            </w:r>
            <w:r w:rsidRPr="00B14D35">
              <w:t>: the regional and district courts with territorial jurisdiction;</w:t>
            </w:r>
          </w:p>
          <w:p w:rsidR="00C70009" w:rsidRDefault="00C70009" w:rsidP="000C635F">
            <w:pPr>
              <w:spacing w:line="240" w:lineRule="auto"/>
            </w:pPr>
            <w:r w:rsidRPr="00B14D35">
              <w:t xml:space="preserve">- </w:t>
            </w:r>
            <w:r w:rsidRPr="00701A6F">
              <w:t>Executing state</w:t>
            </w:r>
            <w:r w:rsidRPr="00B14D35">
              <w:t>: the district court</w:t>
            </w:r>
            <w:r>
              <w:t>s with territorial jurisdiction</w:t>
            </w:r>
          </w:p>
          <w:p w:rsidR="00C70009" w:rsidRPr="0012598A" w:rsidRDefault="00C70009" w:rsidP="000C635F">
            <w:pPr>
              <w:spacing w:line="240" w:lineRule="auto"/>
              <w:rPr>
                <w:lang w:val="pl-PL"/>
              </w:rPr>
            </w:pPr>
            <w:r w:rsidRPr="0012598A">
              <w:rPr>
                <w:lang w:val="pl-PL"/>
              </w:rPr>
              <w:t>Authority responsible:</w:t>
            </w:r>
          </w:p>
          <w:p w:rsidR="00C70009" w:rsidRPr="000078F5" w:rsidRDefault="00C70009" w:rsidP="000C635F">
            <w:pPr>
              <w:spacing w:line="240" w:lineRule="auto"/>
              <w:outlineLvl w:val="0"/>
              <w:rPr>
                <w:lang w:val="pl-PL"/>
              </w:rPr>
            </w:pPr>
            <w:r w:rsidRPr="000078F5">
              <w:rPr>
                <w:lang w:val="pl-PL"/>
              </w:rPr>
              <w:t>Ministerstwo Sprawiedliwości Rzeczypospolitej Polskiej</w:t>
            </w:r>
          </w:p>
          <w:p w:rsidR="00C70009" w:rsidRPr="000078F5" w:rsidRDefault="00C70009" w:rsidP="000C635F">
            <w:pPr>
              <w:spacing w:line="240" w:lineRule="auto"/>
              <w:rPr>
                <w:lang w:val="pl-PL"/>
              </w:rPr>
            </w:pPr>
            <w:r w:rsidRPr="000078F5">
              <w:rPr>
                <w:lang w:val="pl-PL"/>
              </w:rPr>
              <w:t>Departament Współpracy Międzynarodowej i Prawa Europejskiego</w:t>
            </w:r>
          </w:p>
          <w:p w:rsidR="000F3208" w:rsidRDefault="000F3208" w:rsidP="000F3208">
            <w:pPr>
              <w:spacing w:before="0" w:after="0" w:line="240" w:lineRule="auto"/>
              <w:rPr>
                <w:lang w:val="pl-PL"/>
              </w:rPr>
            </w:pPr>
          </w:p>
          <w:p w:rsidR="00C70009" w:rsidRPr="000078F5" w:rsidRDefault="00C70009" w:rsidP="000F3208">
            <w:pPr>
              <w:spacing w:before="0" w:after="0" w:line="240" w:lineRule="auto"/>
              <w:rPr>
                <w:lang w:val="pl-PL"/>
              </w:rPr>
            </w:pPr>
            <w:r w:rsidRPr="000078F5">
              <w:rPr>
                <w:lang w:val="pl-PL"/>
              </w:rPr>
              <w:lastRenderedPageBreak/>
              <w:t>Aleje Ujazdowskie 11, 00-950 Warsaw, Poland</w:t>
            </w:r>
          </w:p>
          <w:p w:rsidR="00C70009" w:rsidRPr="000078F5" w:rsidRDefault="00C70009" w:rsidP="000F3208">
            <w:pPr>
              <w:spacing w:before="0" w:after="0" w:line="240" w:lineRule="auto"/>
              <w:rPr>
                <w:lang w:val="pl-PL"/>
              </w:rPr>
            </w:pPr>
            <w:r w:rsidRPr="000078F5">
              <w:rPr>
                <w:lang w:val="pl-PL"/>
              </w:rPr>
              <w:t>Tel. +48 22 2390 870</w:t>
            </w:r>
          </w:p>
          <w:p w:rsidR="00C70009" w:rsidRPr="000078F5" w:rsidRDefault="00C70009" w:rsidP="000F3208">
            <w:pPr>
              <w:spacing w:before="0" w:after="0" w:line="240" w:lineRule="auto"/>
              <w:rPr>
                <w:lang w:val="de-AT"/>
              </w:rPr>
            </w:pPr>
            <w:r w:rsidRPr="000078F5">
              <w:rPr>
                <w:lang w:val="de-AT"/>
              </w:rPr>
              <w:t>Fax +48 22 6280 949</w:t>
            </w:r>
          </w:p>
          <w:p w:rsidR="00C70009" w:rsidRPr="00701A6F" w:rsidRDefault="00C70009" w:rsidP="000F3208">
            <w:pPr>
              <w:spacing w:before="0" w:after="0" w:line="240" w:lineRule="auto"/>
              <w:rPr>
                <w:lang w:val="de-AT"/>
              </w:rPr>
            </w:pPr>
            <w:r w:rsidRPr="00701A6F">
              <w:rPr>
                <w:lang w:val="de-AT"/>
              </w:rPr>
              <w:t>e-mail dwm@ms.gov.pl</w:t>
            </w:r>
          </w:p>
          <w:p w:rsidR="00C70009" w:rsidRPr="00701A6F" w:rsidRDefault="00C70009" w:rsidP="000F3208">
            <w:pPr>
              <w:spacing w:before="0" w:after="0" w:line="240" w:lineRule="auto"/>
              <w:rPr>
                <w:lang w:val="de-AT"/>
              </w:rPr>
            </w:pPr>
            <w:r w:rsidRPr="00701A6F">
              <w:rPr>
                <w:lang w:val="de-AT"/>
              </w:rPr>
              <w:t>www http://www.ms.gov.pl</w:t>
            </w:r>
          </w:p>
          <w:p w:rsidR="00C70009" w:rsidRPr="00701A6F" w:rsidRDefault="00C70009" w:rsidP="000C635F">
            <w:pPr>
              <w:rPr>
                <w:u w:val="single"/>
                <w:lang w:val="de-AT"/>
              </w:rPr>
            </w:pPr>
          </w:p>
          <w:p w:rsidR="00C70009" w:rsidRPr="00B14D35" w:rsidRDefault="00C70009" w:rsidP="000C635F">
            <w:r>
              <w:t>(see doc. 5314/10)</w:t>
            </w:r>
          </w:p>
          <w:p w:rsidR="00C70009" w:rsidRDefault="00C70009" w:rsidP="000C635F"/>
        </w:tc>
        <w:tc>
          <w:tcPr>
            <w:tcW w:w="949" w:type="pct"/>
          </w:tcPr>
          <w:p w:rsidR="00C70009" w:rsidRPr="0012598A" w:rsidRDefault="00C70009" w:rsidP="000C635F">
            <w:pPr>
              <w:spacing w:line="240" w:lineRule="auto"/>
            </w:pPr>
            <w:r>
              <w:lastRenderedPageBreak/>
              <w:t>will not recognise / execute</w:t>
            </w:r>
            <w:r>
              <w:br/>
            </w:r>
            <w:r>
              <w:br/>
              <w:t xml:space="preserve">( see </w:t>
            </w:r>
            <w:r w:rsidR="00BF556B">
              <w:t xml:space="preserve">doc. </w:t>
            </w:r>
            <w:r>
              <w:t>5314/10 COPEN 10 )</w:t>
            </w:r>
          </w:p>
        </w:tc>
        <w:tc>
          <w:tcPr>
            <w:tcW w:w="812" w:type="pct"/>
          </w:tcPr>
          <w:p w:rsidR="00C70009" w:rsidRDefault="00C70009" w:rsidP="000C635F"/>
        </w:tc>
        <w:tc>
          <w:tcPr>
            <w:tcW w:w="812" w:type="pct"/>
          </w:tcPr>
          <w:p w:rsidR="00C70009" w:rsidRDefault="005D6614" w:rsidP="005D6614">
            <w:pPr>
              <w:spacing w:line="240" w:lineRule="auto"/>
            </w:pPr>
            <w:r>
              <w:t xml:space="preserve">(see </w:t>
            </w:r>
            <w:r w:rsidR="00BF556B">
              <w:t xml:space="preserve">doc. </w:t>
            </w:r>
            <w:r>
              <w:t>5314/10 COPEN 10 )</w:t>
            </w:r>
          </w:p>
        </w:tc>
      </w:tr>
    </w:tbl>
    <w:p w:rsidR="00897848" w:rsidRDefault="00897848">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07"/>
        <w:gridCol w:w="2807"/>
        <w:gridCol w:w="2402"/>
        <w:gridCol w:w="2396"/>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4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49"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AD572D">
        <w:tc>
          <w:tcPr>
            <w:tcW w:w="712" w:type="pct"/>
          </w:tcPr>
          <w:p w:rsidR="00C70009" w:rsidRPr="00591D7B" w:rsidRDefault="00C70009" w:rsidP="000C635F">
            <w:r w:rsidRPr="00591D7B">
              <w:t>PORTUGAL</w:t>
            </w:r>
          </w:p>
        </w:tc>
        <w:tc>
          <w:tcPr>
            <w:tcW w:w="768" w:type="pct"/>
          </w:tcPr>
          <w:p w:rsidR="00C70009" w:rsidRDefault="00C70009" w:rsidP="000C635F">
            <w:pPr>
              <w:spacing w:line="240" w:lineRule="auto"/>
            </w:pPr>
            <w:r>
              <w:t>Implemented</w:t>
            </w:r>
          </w:p>
          <w:p w:rsidR="00C70009" w:rsidRDefault="00C70009" w:rsidP="000C635F">
            <w:pPr>
              <w:spacing w:line="240" w:lineRule="auto"/>
            </w:pPr>
          </w:p>
          <w:p w:rsidR="00C70009" w:rsidRDefault="00C70009" w:rsidP="000C635F">
            <w:pPr>
              <w:spacing w:line="240" w:lineRule="auto"/>
            </w:pPr>
            <w:r>
              <w:t>Entry into force of legislation :</w:t>
            </w:r>
          </w:p>
          <w:p w:rsidR="00C70009" w:rsidRDefault="00C70009" w:rsidP="000C635F">
            <w:pPr>
              <w:spacing w:line="240" w:lineRule="auto"/>
            </w:pPr>
            <w:r>
              <w:t>31 August 2009</w:t>
            </w:r>
          </w:p>
        </w:tc>
        <w:tc>
          <w:tcPr>
            <w:tcW w:w="949" w:type="pct"/>
          </w:tcPr>
          <w:p w:rsidR="00C70009" w:rsidRDefault="00C70009" w:rsidP="000C635F"/>
        </w:tc>
        <w:tc>
          <w:tcPr>
            <w:tcW w:w="949" w:type="pct"/>
          </w:tcPr>
          <w:p w:rsidR="00C70009" w:rsidRDefault="00C70009" w:rsidP="000C635F"/>
        </w:tc>
        <w:tc>
          <w:tcPr>
            <w:tcW w:w="812" w:type="pct"/>
          </w:tcPr>
          <w:p w:rsidR="00C70009" w:rsidRDefault="00C70009" w:rsidP="000C635F"/>
        </w:tc>
        <w:tc>
          <w:tcPr>
            <w:tcW w:w="812" w:type="pct"/>
          </w:tcPr>
          <w:p w:rsidR="00C70009" w:rsidRDefault="00C70009" w:rsidP="00073206">
            <w:r>
              <w:t>Yes</w:t>
            </w:r>
          </w:p>
        </w:tc>
      </w:tr>
    </w:tbl>
    <w:p w:rsidR="008A1DBD" w:rsidRDefault="008A1DBD" w:rsidP="008A1D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181"/>
        <w:gridCol w:w="3257"/>
        <w:gridCol w:w="2717"/>
        <w:gridCol w:w="2312"/>
        <w:gridCol w:w="2306"/>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4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49"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0078F5" w:rsidTr="00AD572D">
        <w:tc>
          <w:tcPr>
            <w:tcW w:w="712" w:type="pct"/>
          </w:tcPr>
          <w:p w:rsidR="00C70009" w:rsidRPr="00897848" w:rsidRDefault="00C70009" w:rsidP="000C635F">
            <w:r w:rsidRPr="00897848">
              <w:t>ROMANIA</w:t>
            </w:r>
          </w:p>
        </w:tc>
        <w:tc>
          <w:tcPr>
            <w:tcW w:w="768" w:type="pct"/>
          </w:tcPr>
          <w:p w:rsidR="00C70009" w:rsidRDefault="00C70009" w:rsidP="000C635F">
            <w:r>
              <w:t xml:space="preserve">Implemented </w:t>
            </w:r>
          </w:p>
          <w:p w:rsidR="00C70009" w:rsidRDefault="00C70009" w:rsidP="000C635F">
            <w:pPr>
              <w:spacing w:line="240" w:lineRule="auto"/>
            </w:pPr>
            <w:r>
              <w:t>Entry into force of legislation:</w:t>
            </w:r>
          </w:p>
          <w:p w:rsidR="00C70009" w:rsidRDefault="00C70009" w:rsidP="00262256">
            <w:pPr>
              <w:spacing w:line="240" w:lineRule="auto"/>
            </w:pPr>
            <w:r>
              <w:t>13 November 2008</w:t>
            </w:r>
          </w:p>
        </w:tc>
        <w:tc>
          <w:tcPr>
            <w:tcW w:w="949" w:type="pct"/>
          </w:tcPr>
          <w:p w:rsidR="00C70009" w:rsidRPr="00897848" w:rsidRDefault="00C70009" w:rsidP="000C635F">
            <w:pPr>
              <w:spacing w:line="240" w:lineRule="auto"/>
              <w:rPr>
                <w:lang w:val="en-US"/>
              </w:rPr>
            </w:pPr>
            <w:r w:rsidRPr="00897848">
              <w:rPr>
                <w:lang w:val="en-US"/>
              </w:rPr>
              <w:t>Executing authorities:</w:t>
            </w:r>
          </w:p>
          <w:p w:rsidR="00C70009" w:rsidRPr="00897848" w:rsidRDefault="00C70009" w:rsidP="000F3208">
            <w:pPr>
              <w:spacing w:before="0" w:after="0" w:line="240" w:lineRule="auto"/>
              <w:rPr>
                <w:bCs/>
              </w:rPr>
            </w:pPr>
            <w:r w:rsidRPr="00897848">
              <w:rPr>
                <w:bCs/>
              </w:rPr>
              <w:t xml:space="preserve">Ministry of Justice </w:t>
            </w:r>
          </w:p>
          <w:p w:rsidR="00C70009" w:rsidRPr="00897848" w:rsidRDefault="00C70009" w:rsidP="000F3208">
            <w:pPr>
              <w:spacing w:before="0" w:after="0" w:line="240" w:lineRule="auto"/>
              <w:rPr>
                <w:bCs/>
              </w:rPr>
            </w:pPr>
            <w:r w:rsidRPr="00897848">
              <w:rPr>
                <w:bCs/>
              </w:rPr>
              <w:t>Directorate of International Law and Judicial Cooperation</w:t>
            </w:r>
          </w:p>
          <w:p w:rsidR="00C70009" w:rsidRPr="00897848" w:rsidRDefault="00C70009" w:rsidP="000F3208">
            <w:pPr>
              <w:spacing w:before="0" w:after="0" w:line="240" w:lineRule="auto"/>
              <w:rPr>
                <w:bCs/>
              </w:rPr>
            </w:pPr>
            <w:r w:rsidRPr="00897848">
              <w:rPr>
                <w:bCs/>
              </w:rPr>
              <w:t>Division for international judicial cooperation in criminal matters)</w:t>
            </w:r>
          </w:p>
          <w:p w:rsidR="00C70009" w:rsidRPr="00897848" w:rsidRDefault="00C70009" w:rsidP="000F3208">
            <w:pPr>
              <w:spacing w:before="0" w:after="0" w:line="240" w:lineRule="auto"/>
              <w:rPr>
                <w:bCs/>
              </w:rPr>
            </w:pPr>
            <w:r w:rsidRPr="00897848">
              <w:rPr>
                <w:bCs/>
              </w:rPr>
              <w:t>Strada Apolodor 17, Sector 5 Bucureşti, Cod 050741</w:t>
            </w:r>
          </w:p>
          <w:p w:rsidR="00C70009" w:rsidRPr="00897848" w:rsidRDefault="00C70009" w:rsidP="000F3208">
            <w:pPr>
              <w:spacing w:before="0" w:after="0" w:line="240" w:lineRule="auto"/>
              <w:rPr>
                <w:bCs/>
              </w:rPr>
            </w:pPr>
            <w:r w:rsidRPr="00897848">
              <w:rPr>
                <w:bCs/>
              </w:rPr>
              <w:t xml:space="preserve">Tel: +40 37204 1077 </w:t>
            </w:r>
          </w:p>
          <w:p w:rsidR="00C70009" w:rsidRPr="00897848" w:rsidRDefault="00C70009" w:rsidP="000F3208">
            <w:pPr>
              <w:spacing w:before="0" w:after="0" w:line="240" w:lineRule="auto"/>
              <w:rPr>
                <w:bCs/>
              </w:rPr>
            </w:pPr>
            <w:r w:rsidRPr="00897848">
              <w:rPr>
                <w:bCs/>
              </w:rPr>
              <w:t xml:space="preserve">       +40 37204 1085</w:t>
            </w:r>
          </w:p>
          <w:p w:rsidR="00C70009" w:rsidRPr="00897848" w:rsidRDefault="00C70009" w:rsidP="000F3208">
            <w:pPr>
              <w:spacing w:before="0" w:after="0" w:line="240" w:lineRule="auto"/>
              <w:rPr>
                <w:bCs/>
              </w:rPr>
            </w:pPr>
            <w:r w:rsidRPr="00897848">
              <w:rPr>
                <w:bCs/>
              </w:rPr>
              <w:t>Outside office hours:</w:t>
            </w:r>
          </w:p>
          <w:p w:rsidR="00C70009" w:rsidRPr="00897848" w:rsidRDefault="00C70009" w:rsidP="000F3208">
            <w:pPr>
              <w:spacing w:before="0" w:after="0" w:line="240" w:lineRule="auto"/>
              <w:rPr>
                <w:bCs/>
                <w:lang w:val="fr-BE"/>
              </w:rPr>
            </w:pPr>
            <w:r w:rsidRPr="00C70009">
              <w:rPr>
                <w:bCs/>
                <w:lang w:val="fr-BE"/>
              </w:rPr>
              <w:t xml:space="preserve">Tel: </w:t>
            </w:r>
            <w:r w:rsidRPr="00897848">
              <w:rPr>
                <w:bCs/>
                <w:lang w:val="fr-BE"/>
              </w:rPr>
              <w:t>+40 733.737.769</w:t>
            </w:r>
          </w:p>
          <w:p w:rsidR="00C70009" w:rsidRPr="00897848" w:rsidRDefault="00C70009" w:rsidP="000F3208">
            <w:pPr>
              <w:spacing w:before="0" w:after="0" w:line="240" w:lineRule="auto"/>
              <w:rPr>
                <w:bCs/>
                <w:lang w:val="fr-BE"/>
              </w:rPr>
            </w:pPr>
            <w:r w:rsidRPr="00897848">
              <w:rPr>
                <w:bCs/>
                <w:lang w:val="fr-BE"/>
              </w:rPr>
              <w:t>Fax: +40 37204 1079/84</w:t>
            </w:r>
          </w:p>
          <w:p w:rsidR="00C70009" w:rsidRPr="00897848" w:rsidRDefault="00C70009" w:rsidP="000F3208">
            <w:pPr>
              <w:spacing w:before="0" w:after="0" w:line="240" w:lineRule="auto"/>
              <w:outlineLvl w:val="0"/>
              <w:rPr>
                <w:bCs/>
                <w:lang w:val="fr-BE"/>
              </w:rPr>
            </w:pPr>
            <w:r w:rsidRPr="00897848">
              <w:rPr>
                <w:bCs/>
                <w:lang w:val="fr-BE"/>
              </w:rPr>
              <w:t xml:space="preserve">E-mail: </w:t>
            </w:r>
          </w:p>
          <w:p w:rsidR="00C70009" w:rsidRPr="00897848" w:rsidRDefault="00C70009" w:rsidP="000F3208">
            <w:pPr>
              <w:spacing w:before="0" w:after="0" w:line="240" w:lineRule="auto"/>
              <w:outlineLvl w:val="0"/>
              <w:rPr>
                <w:lang w:val="fr-BE"/>
              </w:rPr>
            </w:pPr>
            <w:r w:rsidRPr="00897848">
              <w:rPr>
                <w:bCs/>
                <w:lang w:val="fr-BE"/>
              </w:rPr>
              <w:t>centralauthority_copen@just.ro</w:t>
            </w:r>
          </w:p>
          <w:p w:rsidR="00C70009" w:rsidRPr="00AC5F0E" w:rsidRDefault="00BF556B" w:rsidP="000C635F">
            <w:pPr>
              <w:spacing w:line="240" w:lineRule="auto"/>
              <w:rPr>
                <w:lang w:val="fr-BE"/>
              </w:rPr>
            </w:pPr>
            <w:r w:rsidRPr="00AC5F0E">
              <w:rPr>
                <w:lang w:val="fr-BE"/>
              </w:rPr>
              <w:t xml:space="preserve">(see doc. </w:t>
            </w:r>
            <w:r w:rsidR="00C70009" w:rsidRPr="00AC5F0E">
              <w:rPr>
                <w:lang w:val="fr-BE"/>
              </w:rPr>
              <w:t>5769/14 COPEN 25 EJN 17 EUROJUST 20)</w:t>
            </w:r>
          </w:p>
        </w:tc>
        <w:tc>
          <w:tcPr>
            <w:tcW w:w="949" w:type="pct"/>
          </w:tcPr>
          <w:p w:rsidR="00C70009" w:rsidRPr="00897848" w:rsidRDefault="00C70009" w:rsidP="000C635F">
            <w:pPr>
              <w:spacing w:line="240" w:lineRule="auto"/>
            </w:pPr>
            <w:r w:rsidRPr="00897848">
              <w:t xml:space="preserve">will not recognise/execute </w:t>
            </w:r>
          </w:p>
          <w:p w:rsidR="00C70009" w:rsidRPr="00F32083" w:rsidRDefault="00C70009" w:rsidP="00BF556B">
            <w:pPr>
              <w:spacing w:line="240" w:lineRule="auto"/>
            </w:pPr>
            <w:r w:rsidRPr="00897848">
              <w:t>(see</w:t>
            </w:r>
            <w:r w:rsidR="00BF556B">
              <w:t xml:space="preserve"> doc.</w:t>
            </w:r>
            <w:r w:rsidRPr="00897848">
              <w:t xml:space="preserve"> 5769/14 COPEN 25 EJN 17 EUROJUST 20)</w:t>
            </w:r>
          </w:p>
        </w:tc>
        <w:tc>
          <w:tcPr>
            <w:tcW w:w="812" w:type="pct"/>
          </w:tcPr>
          <w:p w:rsidR="00C70009" w:rsidRDefault="00C70009" w:rsidP="000C635F">
            <w:pPr>
              <w:spacing w:line="240" w:lineRule="auto"/>
            </w:pPr>
            <w:r>
              <w:t>Romanian</w:t>
            </w:r>
          </w:p>
          <w:p w:rsidR="00C70009" w:rsidRDefault="00C70009" w:rsidP="000C635F">
            <w:pPr>
              <w:spacing w:line="240" w:lineRule="auto"/>
            </w:pPr>
            <w:r>
              <w:t xml:space="preserve">(see </w:t>
            </w:r>
            <w:r w:rsidR="00BF556B">
              <w:t>doc.</w:t>
            </w:r>
            <w:r>
              <w:t>16284/08 COPEN 236)</w:t>
            </w:r>
          </w:p>
        </w:tc>
        <w:tc>
          <w:tcPr>
            <w:tcW w:w="812" w:type="pct"/>
          </w:tcPr>
          <w:p w:rsidR="00C70009" w:rsidRDefault="005D6614" w:rsidP="005D6614">
            <w:pPr>
              <w:spacing w:line="240" w:lineRule="auto"/>
            </w:pPr>
            <w:r>
              <w:t xml:space="preserve">(see </w:t>
            </w:r>
            <w:r w:rsidR="00BF556B">
              <w:t xml:space="preserve">doc. </w:t>
            </w:r>
            <w:r>
              <w:t>16284/08 COPEN 236)</w:t>
            </w:r>
          </w:p>
        </w:tc>
      </w:tr>
      <w:tr w:rsidR="00C70009" w:rsidRPr="000078F5" w:rsidTr="00AD572D">
        <w:tc>
          <w:tcPr>
            <w:tcW w:w="712" w:type="pct"/>
          </w:tcPr>
          <w:p w:rsidR="00C70009" w:rsidRPr="00897848" w:rsidRDefault="00C70009" w:rsidP="000C635F">
            <w:r w:rsidRPr="00897848">
              <w:t>SLOVENIA</w:t>
            </w:r>
          </w:p>
          <w:p w:rsidR="00C70009" w:rsidRPr="00591D7B" w:rsidRDefault="00C70009" w:rsidP="000C635F"/>
        </w:tc>
        <w:tc>
          <w:tcPr>
            <w:tcW w:w="768" w:type="pct"/>
          </w:tcPr>
          <w:p w:rsidR="00C70009" w:rsidRDefault="00C70009" w:rsidP="000C635F">
            <w:r>
              <w:t>Implemented</w:t>
            </w:r>
          </w:p>
          <w:p w:rsidR="00C70009" w:rsidRDefault="00C70009" w:rsidP="000C635F">
            <w:pPr>
              <w:spacing w:line="240" w:lineRule="auto"/>
            </w:pPr>
            <w:r>
              <w:t xml:space="preserve">Entry into force of </w:t>
            </w:r>
            <w:r>
              <w:lastRenderedPageBreak/>
              <w:t>legislation :</w:t>
            </w:r>
          </w:p>
          <w:p w:rsidR="00C70009" w:rsidRDefault="00C70009" w:rsidP="000C635F">
            <w:r>
              <w:t>25 October 2007</w:t>
            </w:r>
          </w:p>
        </w:tc>
        <w:tc>
          <w:tcPr>
            <w:tcW w:w="949" w:type="pct"/>
          </w:tcPr>
          <w:p w:rsidR="00C70009" w:rsidRPr="00897848" w:rsidRDefault="00C70009" w:rsidP="000C635F">
            <w:pPr>
              <w:spacing w:line="240" w:lineRule="auto"/>
            </w:pPr>
            <w:r w:rsidRPr="00897848">
              <w:lastRenderedPageBreak/>
              <w:t>Local courts and District courts</w:t>
            </w:r>
          </w:p>
          <w:p w:rsidR="00C70009" w:rsidRPr="00897848" w:rsidRDefault="00C70009" w:rsidP="000C635F">
            <w:pPr>
              <w:spacing w:line="240" w:lineRule="auto"/>
            </w:pPr>
          </w:p>
          <w:p w:rsidR="00C70009" w:rsidRPr="00897848" w:rsidRDefault="00C70009" w:rsidP="00BF556B">
            <w:pPr>
              <w:spacing w:line="240" w:lineRule="auto"/>
            </w:pPr>
            <w:r w:rsidRPr="00897848">
              <w:lastRenderedPageBreak/>
              <w:t>(for details + list see</w:t>
            </w:r>
            <w:r w:rsidR="00BF556B">
              <w:t xml:space="preserve"> doc. </w:t>
            </w:r>
            <w:r w:rsidRPr="00897848">
              <w:t>5506/14 COPEN 14 EUROJUST 10 EJN 9)</w:t>
            </w:r>
          </w:p>
        </w:tc>
        <w:tc>
          <w:tcPr>
            <w:tcW w:w="949" w:type="pct"/>
          </w:tcPr>
          <w:p w:rsidR="00C70009" w:rsidRPr="00897848" w:rsidRDefault="00C70009" w:rsidP="000C635F">
            <w:pPr>
              <w:spacing w:line="240" w:lineRule="auto"/>
            </w:pPr>
            <w:r w:rsidRPr="00897848">
              <w:lastRenderedPageBreak/>
              <w:t xml:space="preserve">will not recognise/execute </w:t>
            </w:r>
          </w:p>
          <w:p w:rsidR="00C70009" w:rsidRPr="00897848" w:rsidRDefault="00C70009" w:rsidP="000C635F">
            <w:pPr>
              <w:spacing w:line="240" w:lineRule="auto"/>
            </w:pPr>
          </w:p>
          <w:p w:rsidR="00C70009" w:rsidRPr="00897848" w:rsidRDefault="00C70009" w:rsidP="00BF556B">
            <w:pPr>
              <w:spacing w:line="240" w:lineRule="auto"/>
            </w:pPr>
            <w:r w:rsidRPr="00897848">
              <w:lastRenderedPageBreak/>
              <w:t>(see</w:t>
            </w:r>
            <w:r w:rsidR="00BF556B">
              <w:t xml:space="preserve"> doc.</w:t>
            </w:r>
            <w:r w:rsidRPr="00897848">
              <w:t xml:space="preserve"> 5506/14 COPEN 14 EUROJUST 10 EJN 9)</w:t>
            </w:r>
          </w:p>
        </w:tc>
        <w:tc>
          <w:tcPr>
            <w:tcW w:w="812" w:type="pct"/>
          </w:tcPr>
          <w:p w:rsidR="00C70009" w:rsidRPr="00897848" w:rsidRDefault="00C70009" w:rsidP="000C635F">
            <w:pPr>
              <w:spacing w:line="240" w:lineRule="auto"/>
            </w:pPr>
            <w:r w:rsidRPr="00897848">
              <w:lastRenderedPageBreak/>
              <w:t>Slovenian and also English</w:t>
            </w:r>
          </w:p>
          <w:p w:rsidR="00C70009" w:rsidRPr="00897848" w:rsidRDefault="00C70009" w:rsidP="000C635F">
            <w:pPr>
              <w:spacing w:line="240" w:lineRule="auto"/>
            </w:pPr>
          </w:p>
          <w:p w:rsidR="00C70009" w:rsidRPr="00897848" w:rsidRDefault="00C70009" w:rsidP="00BF556B">
            <w:pPr>
              <w:spacing w:line="240" w:lineRule="auto"/>
            </w:pPr>
            <w:r w:rsidRPr="00897848">
              <w:lastRenderedPageBreak/>
              <w:t>(see</w:t>
            </w:r>
            <w:r w:rsidR="00BF556B">
              <w:t xml:space="preserve"> doc.</w:t>
            </w:r>
            <w:r w:rsidRPr="00897848">
              <w:t>5506/14 COPEN 14 EUROJUST 10 EJN 9)</w:t>
            </w:r>
          </w:p>
        </w:tc>
        <w:tc>
          <w:tcPr>
            <w:tcW w:w="812" w:type="pct"/>
          </w:tcPr>
          <w:p w:rsidR="00C70009" w:rsidRDefault="005D6614" w:rsidP="00BF556B">
            <w:pPr>
              <w:spacing w:line="240" w:lineRule="auto"/>
            </w:pPr>
            <w:r w:rsidRPr="00897848">
              <w:lastRenderedPageBreak/>
              <w:t>(see</w:t>
            </w:r>
            <w:r w:rsidR="00BF556B">
              <w:t xml:space="preserve"> doc.</w:t>
            </w:r>
            <w:r w:rsidRPr="00897848">
              <w:t xml:space="preserve"> 5506/14 COPEN 14 EUROJUST 10 EJN 9)</w:t>
            </w:r>
          </w:p>
        </w:tc>
      </w:tr>
      <w:tr w:rsidR="00C70009" w:rsidRPr="000078F5" w:rsidTr="00AD572D">
        <w:tc>
          <w:tcPr>
            <w:tcW w:w="712" w:type="pct"/>
          </w:tcPr>
          <w:p w:rsidR="00C70009" w:rsidRPr="00591D7B" w:rsidRDefault="00C70009" w:rsidP="000C635F">
            <w:r w:rsidRPr="00591D7B">
              <w:lastRenderedPageBreak/>
              <w:t>SLOVAKIA</w:t>
            </w:r>
          </w:p>
        </w:tc>
        <w:tc>
          <w:tcPr>
            <w:tcW w:w="768" w:type="pct"/>
          </w:tcPr>
          <w:p w:rsidR="00C70009" w:rsidRDefault="00C70009" w:rsidP="000C635F"/>
        </w:tc>
        <w:tc>
          <w:tcPr>
            <w:tcW w:w="949" w:type="pct"/>
          </w:tcPr>
          <w:p w:rsidR="00C70009" w:rsidRDefault="00C70009" w:rsidP="000C635F"/>
        </w:tc>
        <w:tc>
          <w:tcPr>
            <w:tcW w:w="949" w:type="pct"/>
          </w:tcPr>
          <w:p w:rsidR="00C70009" w:rsidRDefault="00C70009" w:rsidP="000C635F"/>
        </w:tc>
        <w:tc>
          <w:tcPr>
            <w:tcW w:w="812" w:type="pct"/>
          </w:tcPr>
          <w:p w:rsidR="00C70009" w:rsidRDefault="00C70009" w:rsidP="000C635F">
            <w:pPr>
              <w:spacing w:line="240" w:lineRule="auto"/>
            </w:pPr>
          </w:p>
        </w:tc>
        <w:tc>
          <w:tcPr>
            <w:tcW w:w="812" w:type="pct"/>
          </w:tcPr>
          <w:p w:rsidR="00C70009" w:rsidRDefault="00C70009" w:rsidP="00073206"/>
        </w:tc>
      </w:tr>
      <w:tr w:rsidR="00C70009" w:rsidRPr="00C675DC" w:rsidTr="00AD572D">
        <w:tc>
          <w:tcPr>
            <w:tcW w:w="712" w:type="pct"/>
          </w:tcPr>
          <w:p w:rsidR="00C70009" w:rsidRPr="00897848" w:rsidRDefault="00C70009" w:rsidP="000C635F">
            <w:r w:rsidRPr="00897848">
              <w:t>FINLAND</w:t>
            </w:r>
          </w:p>
          <w:p w:rsidR="00C70009" w:rsidRPr="00C675DC" w:rsidRDefault="00C70009" w:rsidP="000C635F"/>
        </w:tc>
        <w:tc>
          <w:tcPr>
            <w:tcW w:w="768" w:type="pct"/>
          </w:tcPr>
          <w:p w:rsidR="00C70009" w:rsidRDefault="00C70009" w:rsidP="000C635F">
            <w:r>
              <w:t>I</w:t>
            </w:r>
            <w:r w:rsidRPr="00C675DC">
              <w:t>mplemented</w:t>
            </w:r>
          </w:p>
          <w:p w:rsidR="00C70009" w:rsidRDefault="00C70009" w:rsidP="000C635F">
            <w:pPr>
              <w:spacing w:line="240" w:lineRule="auto"/>
            </w:pPr>
            <w:r>
              <w:t>Entry into force of legislation :</w:t>
            </w:r>
          </w:p>
          <w:p w:rsidR="00C70009" w:rsidRPr="00C675DC" w:rsidRDefault="00C70009" w:rsidP="000C635F">
            <w:r>
              <w:t>24 November 2008</w:t>
            </w:r>
          </w:p>
        </w:tc>
        <w:tc>
          <w:tcPr>
            <w:tcW w:w="949" w:type="pct"/>
          </w:tcPr>
          <w:p w:rsidR="00C70009" w:rsidRPr="00897848" w:rsidRDefault="002C266D" w:rsidP="000C635F">
            <w:pPr>
              <w:spacing w:line="240" w:lineRule="auto"/>
            </w:pPr>
            <w:r>
              <w:t>Competent</w:t>
            </w:r>
            <w:r w:rsidR="00C70009" w:rsidRPr="00897848">
              <w:t xml:space="preserve"> authority</w:t>
            </w:r>
          </w:p>
          <w:p w:rsidR="00C70009" w:rsidRPr="00897848" w:rsidRDefault="00C70009" w:rsidP="000F3208">
            <w:pPr>
              <w:spacing w:before="0" w:after="0" w:line="240" w:lineRule="auto"/>
            </w:pPr>
            <w:r w:rsidRPr="00897848">
              <w:t xml:space="preserve">Legal Register Centre : </w:t>
            </w:r>
          </w:p>
          <w:p w:rsidR="00C70009" w:rsidRPr="00897848" w:rsidRDefault="00C70009" w:rsidP="000F3208">
            <w:pPr>
              <w:spacing w:before="0" w:after="0" w:line="240" w:lineRule="auto"/>
            </w:pPr>
            <w:r w:rsidRPr="00897848">
              <w:t xml:space="preserve">Address: Legal Register Centre </w:t>
            </w:r>
          </w:p>
          <w:p w:rsidR="00C70009" w:rsidRPr="00897848" w:rsidRDefault="00C70009" w:rsidP="000F3208">
            <w:pPr>
              <w:spacing w:before="0" w:after="0" w:line="240" w:lineRule="auto"/>
            </w:pPr>
            <w:r w:rsidRPr="00897848">
              <w:t xml:space="preserve">Vanajantie 10 A </w:t>
            </w:r>
          </w:p>
          <w:p w:rsidR="00C70009" w:rsidRPr="00897848" w:rsidRDefault="00C70009" w:rsidP="000F3208">
            <w:pPr>
              <w:spacing w:before="0" w:after="0" w:line="240" w:lineRule="auto"/>
            </w:pPr>
            <w:r w:rsidRPr="00897848">
              <w:t xml:space="preserve">P.O. Box 157 </w:t>
            </w:r>
          </w:p>
          <w:p w:rsidR="00C70009" w:rsidRPr="00897848" w:rsidRDefault="00C70009" w:rsidP="000F3208">
            <w:pPr>
              <w:spacing w:before="0" w:after="0" w:line="240" w:lineRule="auto"/>
            </w:pPr>
            <w:r w:rsidRPr="00897848">
              <w:t xml:space="preserve">FI-13101 Hämeenlinna </w:t>
            </w:r>
          </w:p>
          <w:p w:rsidR="00C70009" w:rsidRPr="00897848" w:rsidRDefault="00C70009" w:rsidP="000F3208">
            <w:pPr>
              <w:spacing w:before="0" w:after="0" w:line="240" w:lineRule="auto"/>
              <w:rPr>
                <w:lang w:val="fr-BE"/>
              </w:rPr>
            </w:pPr>
            <w:r w:rsidRPr="00897848">
              <w:rPr>
                <w:lang w:val="fr-BE"/>
              </w:rPr>
              <w:t xml:space="preserve">Finland </w:t>
            </w:r>
          </w:p>
          <w:p w:rsidR="00C70009" w:rsidRPr="00897848" w:rsidRDefault="00C70009" w:rsidP="000F3208">
            <w:pPr>
              <w:spacing w:before="0" w:after="0" w:line="240" w:lineRule="auto"/>
              <w:rPr>
                <w:lang w:val="fr-BE"/>
              </w:rPr>
            </w:pPr>
            <w:r w:rsidRPr="00897848">
              <w:rPr>
                <w:lang w:val="fr-BE"/>
              </w:rPr>
              <w:t>Tel. +358 29 56 65631</w:t>
            </w:r>
          </w:p>
          <w:p w:rsidR="00C70009" w:rsidRPr="00897848" w:rsidRDefault="00C70009" w:rsidP="000F3208">
            <w:pPr>
              <w:spacing w:before="0" w:after="0" w:line="240" w:lineRule="auto"/>
              <w:rPr>
                <w:lang w:val="fr-BE"/>
              </w:rPr>
            </w:pPr>
            <w:r w:rsidRPr="00897848">
              <w:rPr>
                <w:lang w:val="fr-BE"/>
              </w:rPr>
              <w:t>Fax +358 29 56 65782</w:t>
            </w:r>
          </w:p>
          <w:p w:rsidR="00C70009" w:rsidRPr="00897848" w:rsidRDefault="00C70009" w:rsidP="000F3208">
            <w:pPr>
              <w:spacing w:before="0" w:after="0" w:line="240" w:lineRule="auto"/>
              <w:rPr>
                <w:lang w:val="fr-BE"/>
              </w:rPr>
            </w:pPr>
            <w:r w:rsidRPr="00897848">
              <w:rPr>
                <w:lang w:val="fr-BE"/>
              </w:rPr>
              <w:t>e-mail : oikeusrekisterikeskus@om.fi</w:t>
            </w:r>
          </w:p>
          <w:p w:rsidR="00C70009" w:rsidRPr="00897848" w:rsidRDefault="00C70009" w:rsidP="000C635F">
            <w:pPr>
              <w:spacing w:line="240" w:lineRule="auto"/>
            </w:pPr>
            <w:r w:rsidRPr="00897848">
              <w:t>(see doc.5817/14 COPEN 31 EUROJUST 25 EJN 22)</w:t>
            </w:r>
          </w:p>
          <w:p w:rsidR="00C70009" w:rsidRPr="00C675DC" w:rsidRDefault="00C70009" w:rsidP="000C635F">
            <w:pPr>
              <w:rPr>
                <w:u w:val="single"/>
              </w:rPr>
            </w:pPr>
          </w:p>
        </w:tc>
        <w:tc>
          <w:tcPr>
            <w:tcW w:w="949" w:type="pct"/>
          </w:tcPr>
          <w:p w:rsidR="00C70009" w:rsidRPr="00C675DC" w:rsidRDefault="00C70009" w:rsidP="000C635F"/>
        </w:tc>
        <w:tc>
          <w:tcPr>
            <w:tcW w:w="812" w:type="pct"/>
          </w:tcPr>
          <w:p w:rsidR="00C70009" w:rsidRPr="00C675DC" w:rsidRDefault="00C70009" w:rsidP="000C635F">
            <w:pPr>
              <w:spacing w:line="240" w:lineRule="auto"/>
            </w:pPr>
            <w:r w:rsidRPr="00C675DC">
              <w:t xml:space="preserve">Finnish, </w:t>
            </w:r>
            <w:r>
              <w:t>S</w:t>
            </w:r>
            <w:r w:rsidRPr="00C675DC">
              <w:t xml:space="preserve">wedish and English. </w:t>
            </w:r>
            <w:r w:rsidRPr="00C675DC">
              <w:rPr>
                <w:lang w:val="en-US"/>
              </w:rPr>
              <w:t>Finland may also accept certificates provided in a different language if there are no obstacles for such acceptances</w:t>
            </w:r>
          </w:p>
        </w:tc>
        <w:tc>
          <w:tcPr>
            <w:tcW w:w="812" w:type="pct"/>
          </w:tcPr>
          <w:p w:rsidR="00C70009" w:rsidRPr="00C675DC" w:rsidRDefault="005D6614" w:rsidP="005D6614">
            <w:pPr>
              <w:spacing w:line="240" w:lineRule="auto"/>
            </w:pPr>
            <w:r w:rsidRPr="00897848">
              <w:t>(see doc.5817/14 COPEN 31 EUROJUST 25 EJN 22)</w:t>
            </w:r>
          </w:p>
        </w:tc>
      </w:tr>
    </w:tbl>
    <w:p w:rsidR="008A1DBD" w:rsidRDefault="008A1DBD" w:rsidP="008A1D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991"/>
        <w:gridCol w:w="4203"/>
        <w:gridCol w:w="2528"/>
        <w:gridCol w:w="2123"/>
        <w:gridCol w:w="2117"/>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4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49"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C675DC" w:rsidTr="00AD572D">
        <w:tc>
          <w:tcPr>
            <w:tcW w:w="712" w:type="pct"/>
          </w:tcPr>
          <w:p w:rsidR="00C70009" w:rsidRPr="002C266D" w:rsidRDefault="00C70009" w:rsidP="000C635F">
            <w:pPr>
              <w:spacing w:line="240" w:lineRule="auto"/>
            </w:pPr>
            <w:r w:rsidRPr="002C266D">
              <w:t>SWEDEN</w:t>
            </w:r>
          </w:p>
        </w:tc>
        <w:tc>
          <w:tcPr>
            <w:tcW w:w="768" w:type="pct"/>
          </w:tcPr>
          <w:p w:rsidR="00C70009" w:rsidRPr="00637938" w:rsidRDefault="00C70009" w:rsidP="000C635F">
            <w:pPr>
              <w:spacing w:line="240" w:lineRule="auto"/>
            </w:pPr>
            <w:r w:rsidRPr="00637938">
              <w:t>Implemented</w:t>
            </w:r>
          </w:p>
          <w:p w:rsidR="00C70009" w:rsidRPr="00637938" w:rsidRDefault="00C70009" w:rsidP="000C635F">
            <w:pPr>
              <w:spacing w:line="240" w:lineRule="auto"/>
            </w:pPr>
          </w:p>
          <w:p w:rsidR="00C70009" w:rsidRPr="00637938" w:rsidRDefault="00C70009" w:rsidP="000C635F">
            <w:pPr>
              <w:spacing w:line="240" w:lineRule="auto"/>
            </w:pPr>
            <w:r w:rsidRPr="00637938">
              <w:t>Entry into force of legislation :</w:t>
            </w:r>
          </w:p>
          <w:p w:rsidR="00C70009" w:rsidRPr="00637938" w:rsidRDefault="00C70009" w:rsidP="000C635F">
            <w:pPr>
              <w:spacing w:line="240" w:lineRule="auto"/>
            </w:pPr>
            <w:r w:rsidRPr="00637938">
              <w:t>1 July 2011</w:t>
            </w:r>
          </w:p>
        </w:tc>
        <w:tc>
          <w:tcPr>
            <w:tcW w:w="949" w:type="pct"/>
          </w:tcPr>
          <w:p w:rsidR="00C70009" w:rsidRPr="00637938" w:rsidRDefault="00C70009" w:rsidP="006708CF">
            <w:pPr>
              <w:spacing w:line="240" w:lineRule="auto"/>
            </w:pPr>
            <w:r w:rsidRPr="00637938">
              <w:t>Competent Authorit</w:t>
            </w:r>
            <w:r>
              <w:t>ies:</w:t>
            </w:r>
          </w:p>
          <w:p w:rsidR="00C70009" w:rsidRPr="00637938" w:rsidRDefault="00C70009" w:rsidP="00EB4F2D">
            <w:pPr>
              <w:spacing w:line="240" w:lineRule="auto"/>
            </w:pPr>
            <w:r>
              <w:t xml:space="preserve">1) </w:t>
            </w:r>
            <w:r w:rsidRPr="00637938">
              <w:t>The Swedish Enforcement Authority</w:t>
            </w:r>
          </w:p>
          <w:p w:rsidR="00C70009" w:rsidRPr="00440DF0" w:rsidRDefault="00C70009" w:rsidP="000F3208">
            <w:pPr>
              <w:spacing w:before="0" w:after="0" w:line="240" w:lineRule="auto"/>
              <w:rPr>
                <w:lang w:val="sv-SE"/>
              </w:rPr>
            </w:pPr>
            <w:r w:rsidRPr="00440DF0">
              <w:rPr>
                <w:lang w:val="sv-SE"/>
              </w:rPr>
              <w:t>Östra enheten 5</w:t>
            </w:r>
          </w:p>
          <w:p w:rsidR="00C70009" w:rsidRPr="00440DF0" w:rsidRDefault="00C70009" w:rsidP="000F3208">
            <w:pPr>
              <w:spacing w:before="0" w:after="0" w:line="240" w:lineRule="auto"/>
              <w:rPr>
                <w:lang w:val="sv-SE"/>
              </w:rPr>
            </w:pPr>
            <w:r w:rsidRPr="00440DF0">
              <w:rPr>
                <w:lang w:val="sv-SE"/>
              </w:rPr>
              <w:t>S-106 65 Stockholm</w:t>
            </w:r>
          </w:p>
          <w:p w:rsidR="00C70009" w:rsidRPr="00440DF0" w:rsidRDefault="00C70009" w:rsidP="000F3208">
            <w:pPr>
              <w:spacing w:before="0" w:after="0" w:line="240" w:lineRule="auto"/>
              <w:rPr>
                <w:lang w:val="sv-SE"/>
              </w:rPr>
            </w:pPr>
            <w:r w:rsidRPr="00440DF0">
              <w:rPr>
                <w:lang w:val="sv-SE"/>
              </w:rPr>
              <w:t>SWEDEN</w:t>
            </w:r>
          </w:p>
          <w:p w:rsidR="00C70009" w:rsidRPr="00440DF0" w:rsidRDefault="00C70009" w:rsidP="000F3208">
            <w:pPr>
              <w:spacing w:before="0" w:after="0" w:line="240" w:lineRule="auto"/>
              <w:rPr>
                <w:lang w:val="sv-SE"/>
              </w:rPr>
            </w:pPr>
            <w:r w:rsidRPr="00440DF0">
              <w:rPr>
                <w:lang w:val="sv-SE"/>
              </w:rPr>
              <w:t>Tel: +46 10 578 3070</w:t>
            </w:r>
          </w:p>
          <w:p w:rsidR="00C70009" w:rsidRPr="00637938" w:rsidRDefault="00C70009" w:rsidP="000F3208">
            <w:pPr>
              <w:spacing w:before="0" w:after="0" w:line="240" w:lineRule="auto"/>
            </w:pPr>
            <w:r w:rsidRPr="00637938">
              <w:t>Fax: +46 10 578 3390</w:t>
            </w:r>
          </w:p>
          <w:p w:rsidR="00C70009" w:rsidRPr="00637938" w:rsidRDefault="00C70009" w:rsidP="000F3208">
            <w:pPr>
              <w:spacing w:before="0" w:after="0" w:line="240" w:lineRule="auto"/>
            </w:pPr>
            <w:r w:rsidRPr="00637938">
              <w:t>e-mail: konofogden@kronofogdemyndigheten.se</w:t>
            </w:r>
          </w:p>
          <w:p w:rsidR="00C70009" w:rsidRDefault="00C70009" w:rsidP="00EB4F2D">
            <w:pPr>
              <w:spacing w:line="240" w:lineRule="auto"/>
            </w:pPr>
            <w:r w:rsidRPr="00637938">
              <w:t>(see doc. 17842/11)</w:t>
            </w:r>
          </w:p>
          <w:p w:rsidR="00C70009" w:rsidRPr="002C266D" w:rsidRDefault="00C70009" w:rsidP="000F3208">
            <w:pPr>
              <w:spacing w:before="0" w:after="0" w:line="240" w:lineRule="auto"/>
            </w:pPr>
            <w:r w:rsidRPr="002C266D">
              <w:t>2) From 1 July 2014, where Sweden is the executing State, its courts are also competent authorities in accordance with the</w:t>
            </w:r>
            <w:r w:rsidRPr="006708CF">
              <w:rPr>
                <w:u w:val="single"/>
              </w:rPr>
              <w:t xml:space="preserve"> </w:t>
            </w:r>
            <w:r w:rsidRPr="002C266D">
              <w:t>Framework Decision. All orders and accompanying certificates should however continue to be sent to the Swedish Enforcement Authority in accordance with the information previously submitted.</w:t>
            </w:r>
          </w:p>
          <w:p w:rsidR="00C70009" w:rsidRPr="00637938" w:rsidRDefault="00BF556B" w:rsidP="006708CF">
            <w:pPr>
              <w:spacing w:line="240" w:lineRule="auto"/>
            </w:pPr>
            <w:r>
              <w:t xml:space="preserve">(see doc. </w:t>
            </w:r>
            <w:r w:rsidR="00C70009" w:rsidRPr="002C266D">
              <w:t>12005/14 COPEN 199 EUROJUST 137 EJN 72)</w:t>
            </w:r>
          </w:p>
        </w:tc>
        <w:tc>
          <w:tcPr>
            <w:tcW w:w="949" w:type="pct"/>
          </w:tcPr>
          <w:p w:rsidR="00C70009" w:rsidRPr="002C266D" w:rsidRDefault="00C70009" w:rsidP="000C635F">
            <w:pPr>
              <w:spacing w:line="240" w:lineRule="auto"/>
            </w:pPr>
            <w:r w:rsidRPr="002C266D">
              <w:t>From 1 July 2014 Sweden will be able to recognise and execute orders including those issued under the extended powers of confiscation referred to Article 2(d)(iv) of the Framework Decision</w:t>
            </w:r>
          </w:p>
          <w:p w:rsidR="00C70009" w:rsidRPr="00637938" w:rsidRDefault="00BF556B" w:rsidP="00EB4F2D">
            <w:pPr>
              <w:spacing w:line="240" w:lineRule="auto"/>
            </w:pPr>
            <w:r>
              <w:t>(see doc.</w:t>
            </w:r>
            <w:r w:rsidR="00C70009" w:rsidRPr="002C266D">
              <w:t xml:space="preserve"> 12005/14 COPEN 199 EUROJUST 137 EJN 72)</w:t>
            </w:r>
          </w:p>
        </w:tc>
        <w:tc>
          <w:tcPr>
            <w:tcW w:w="812" w:type="pct"/>
          </w:tcPr>
          <w:p w:rsidR="00C70009" w:rsidRPr="00637938" w:rsidRDefault="00C70009" w:rsidP="000C635F">
            <w:pPr>
              <w:spacing w:line="240" w:lineRule="auto"/>
            </w:pPr>
            <w:r w:rsidRPr="00637938">
              <w:t>Swedish, Danish, Norwegian or English, or be accompanied by a translation in one of those languages</w:t>
            </w:r>
          </w:p>
        </w:tc>
        <w:tc>
          <w:tcPr>
            <w:tcW w:w="812" w:type="pct"/>
          </w:tcPr>
          <w:p w:rsidR="00C70009" w:rsidRPr="002C266D" w:rsidRDefault="005D6614" w:rsidP="00073206">
            <w:pPr>
              <w:spacing w:line="240" w:lineRule="auto"/>
            </w:pPr>
            <w:r w:rsidRPr="002C266D">
              <w:t>(see do</w:t>
            </w:r>
            <w:r w:rsidR="00BF556B">
              <w:t>c.</w:t>
            </w:r>
            <w:r w:rsidRPr="002C266D">
              <w:t xml:space="preserve"> 12005/14 COPEN 199 EUROJUST 137 EJN 72)</w:t>
            </w:r>
          </w:p>
        </w:tc>
      </w:tr>
    </w:tbl>
    <w:p w:rsidR="006708CF" w:rsidRDefault="006708C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271"/>
        <w:gridCol w:w="2807"/>
        <w:gridCol w:w="2807"/>
        <w:gridCol w:w="2402"/>
        <w:gridCol w:w="2396"/>
      </w:tblGrid>
      <w:tr w:rsidR="00C70009" w:rsidRPr="000078F5" w:rsidTr="00AD572D">
        <w:trPr>
          <w:tblHeader/>
        </w:trPr>
        <w:tc>
          <w:tcPr>
            <w:tcW w:w="712" w:type="pct"/>
          </w:tcPr>
          <w:p w:rsidR="00C70009" w:rsidRPr="00862619" w:rsidRDefault="00C70009" w:rsidP="000C635F">
            <w:pPr>
              <w:rPr>
                <w:b/>
                <w:bCs/>
              </w:rPr>
            </w:pPr>
            <w:r>
              <w:rPr>
                <w:b/>
                <w:bCs/>
              </w:rPr>
              <w:t>Member State</w:t>
            </w:r>
          </w:p>
        </w:tc>
        <w:tc>
          <w:tcPr>
            <w:tcW w:w="768" w:type="pct"/>
          </w:tcPr>
          <w:p w:rsidR="00C70009" w:rsidRPr="000078F5" w:rsidRDefault="00C70009" w:rsidP="000C635F">
            <w:pPr>
              <w:spacing w:line="240" w:lineRule="auto"/>
              <w:jc w:val="center"/>
              <w:rPr>
                <w:b/>
              </w:rPr>
            </w:pPr>
            <w:r w:rsidRPr="000078F5">
              <w:rPr>
                <w:b/>
              </w:rPr>
              <w:t>State</w:t>
            </w:r>
            <w:r>
              <w:rPr>
                <w:b/>
              </w:rPr>
              <w:t>/date</w:t>
            </w:r>
            <w:r w:rsidRPr="000078F5">
              <w:rPr>
                <w:b/>
              </w:rPr>
              <w:t xml:space="preserve"> of implementation of Framework Decision</w:t>
            </w:r>
          </w:p>
        </w:tc>
        <w:tc>
          <w:tcPr>
            <w:tcW w:w="949" w:type="pct"/>
          </w:tcPr>
          <w:p w:rsidR="00C70009" w:rsidRPr="000078F5" w:rsidRDefault="00C70009" w:rsidP="000C635F">
            <w:pPr>
              <w:spacing w:line="240" w:lineRule="auto"/>
              <w:jc w:val="center"/>
              <w:rPr>
                <w:b/>
              </w:rPr>
            </w:pPr>
            <w:r w:rsidRPr="000078F5">
              <w:rPr>
                <w:b/>
              </w:rPr>
              <w:t>Notification re Article 3</w:t>
            </w:r>
          </w:p>
          <w:p w:rsidR="00C70009" w:rsidRPr="000078F5" w:rsidRDefault="00C70009" w:rsidP="000C635F">
            <w:pPr>
              <w:spacing w:line="240" w:lineRule="auto"/>
              <w:jc w:val="center"/>
              <w:rPr>
                <w:b/>
              </w:rPr>
            </w:pPr>
            <w:r w:rsidRPr="000078F5">
              <w:rPr>
                <w:b/>
              </w:rPr>
              <w:t>(Competent Authorities)</w:t>
            </w:r>
          </w:p>
        </w:tc>
        <w:tc>
          <w:tcPr>
            <w:tcW w:w="949" w:type="pct"/>
          </w:tcPr>
          <w:p w:rsidR="00C70009" w:rsidRPr="000078F5" w:rsidRDefault="00C70009" w:rsidP="000C635F">
            <w:pPr>
              <w:spacing w:line="240" w:lineRule="auto"/>
              <w:jc w:val="center"/>
              <w:rPr>
                <w:b/>
              </w:rPr>
            </w:pPr>
            <w:r w:rsidRPr="000078F5">
              <w:rPr>
                <w:b/>
              </w:rPr>
              <w:t>Notification re Article 7(5)</w:t>
            </w:r>
          </w:p>
          <w:p w:rsidR="00C70009" w:rsidRPr="000078F5" w:rsidRDefault="00C70009" w:rsidP="000C635F">
            <w:pPr>
              <w:spacing w:line="240" w:lineRule="auto"/>
              <w:jc w:val="center"/>
              <w:rPr>
                <w:b/>
              </w:rPr>
            </w:pPr>
            <w:r w:rsidRPr="000078F5">
              <w:rPr>
                <w:b/>
              </w:rPr>
              <w:t>(extended powers of confiscation)</w:t>
            </w:r>
          </w:p>
        </w:tc>
        <w:tc>
          <w:tcPr>
            <w:tcW w:w="812" w:type="pct"/>
          </w:tcPr>
          <w:p w:rsidR="00C70009" w:rsidRPr="000078F5" w:rsidRDefault="00C70009" w:rsidP="000C635F">
            <w:pPr>
              <w:spacing w:line="240" w:lineRule="auto"/>
              <w:jc w:val="center"/>
              <w:rPr>
                <w:b/>
              </w:rPr>
            </w:pPr>
            <w:r w:rsidRPr="000078F5">
              <w:rPr>
                <w:b/>
              </w:rPr>
              <w:t>Notification re Article 19</w:t>
            </w:r>
            <w:r w:rsidR="000B1311">
              <w:rPr>
                <w:b/>
              </w:rPr>
              <w:t>(2)</w:t>
            </w:r>
          </w:p>
          <w:p w:rsidR="00C70009" w:rsidRPr="000078F5" w:rsidRDefault="00C70009" w:rsidP="000C635F">
            <w:pPr>
              <w:spacing w:line="240" w:lineRule="auto"/>
              <w:jc w:val="center"/>
              <w:rPr>
                <w:b/>
              </w:rPr>
            </w:pPr>
            <w:r w:rsidRPr="000078F5">
              <w:rPr>
                <w:b/>
              </w:rPr>
              <w:t>(languages)</w:t>
            </w:r>
          </w:p>
        </w:tc>
        <w:tc>
          <w:tcPr>
            <w:tcW w:w="812" w:type="pct"/>
          </w:tcPr>
          <w:p w:rsidR="00B42700" w:rsidRDefault="00B42700" w:rsidP="00B42700">
            <w:pPr>
              <w:spacing w:line="240" w:lineRule="auto"/>
              <w:jc w:val="center"/>
              <w:rPr>
                <w:b/>
              </w:rPr>
            </w:pPr>
            <w:r>
              <w:rPr>
                <w:b/>
              </w:rPr>
              <w:t>Notification</w:t>
            </w:r>
            <w:r w:rsidRPr="000078F5">
              <w:rPr>
                <w:b/>
              </w:rPr>
              <w:t xml:space="preserve"> re Article 22(2) </w:t>
            </w:r>
          </w:p>
          <w:p w:rsidR="00C70009" w:rsidRPr="000078F5" w:rsidRDefault="00B42700" w:rsidP="00B42700">
            <w:pPr>
              <w:spacing w:line="240" w:lineRule="auto"/>
              <w:jc w:val="center"/>
              <w:rPr>
                <w:b/>
              </w:rPr>
            </w:pPr>
            <w:r>
              <w:rPr>
                <w:b/>
              </w:rPr>
              <w:t>(Implementation)</w:t>
            </w:r>
          </w:p>
        </w:tc>
      </w:tr>
      <w:tr w:rsidR="00C70009" w:rsidRPr="00C675DC" w:rsidTr="00AD572D">
        <w:tc>
          <w:tcPr>
            <w:tcW w:w="712" w:type="pct"/>
          </w:tcPr>
          <w:p w:rsidR="00C70009" w:rsidRPr="002C266D" w:rsidRDefault="00C70009" w:rsidP="000C635F">
            <w:pPr>
              <w:spacing w:line="240" w:lineRule="auto"/>
            </w:pPr>
            <w:r w:rsidRPr="002C266D">
              <w:t>UNITED KINGDOM</w:t>
            </w:r>
          </w:p>
        </w:tc>
        <w:tc>
          <w:tcPr>
            <w:tcW w:w="768" w:type="pct"/>
          </w:tcPr>
          <w:p w:rsidR="00C70009" w:rsidRPr="002C266D" w:rsidRDefault="00C70009" w:rsidP="00E76E7B">
            <w:pPr>
              <w:spacing w:line="240" w:lineRule="auto"/>
            </w:pPr>
            <w:r w:rsidRPr="002C266D">
              <w:t>Implemented</w:t>
            </w:r>
          </w:p>
          <w:p w:rsidR="00C70009" w:rsidRPr="002C266D" w:rsidRDefault="00C70009" w:rsidP="00E76E7B">
            <w:pPr>
              <w:spacing w:line="240" w:lineRule="auto"/>
            </w:pPr>
          </w:p>
          <w:p w:rsidR="00BF556B" w:rsidRDefault="00C70009" w:rsidP="00BF556B">
            <w:pPr>
              <w:spacing w:line="240" w:lineRule="auto"/>
            </w:pPr>
            <w:r w:rsidRPr="002C266D">
              <w:t>Entry into force of legislation :</w:t>
            </w:r>
          </w:p>
          <w:p w:rsidR="00C70009" w:rsidRPr="002C266D" w:rsidRDefault="00C70009" w:rsidP="00BF556B">
            <w:pPr>
              <w:spacing w:line="240" w:lineRule="auto"/>
            </w:pPr>
            <w:r w:rsidRPr="002C266D">
              <w:t>3 December 2014</w:t>
            </w:r>
          </w:p>
        </w:tc>
        <w:tc>
          <w:tcPr>
            <w:tcW w:w="949" w:type="pct"/>
          </w:tcPr>
          <w:p w:rsidR="00C70009" w:rsidRPr="002C266D" w:rsidRDefault="00C70009" w:rsidP="00CF5C35">
            <w:pPr>
              <w:spacing w:line="240" w:lineRule="auto"/>
            </w:pPr>
            <w:r w:rsidRPr="002C266D">
              <w:t xml:space="preserve">1) Any prosecutor in the UK can forward orders </w:t>
            </w:r>
            <w:r w:rsidRPr="002C266D">
              <w:rPr>
                <w:b/>
                <w:bCs/>
              </w:rPr>
              <w:t>made in UK</w:t>
            </w:r>
            <w:r w:rsidRPr="002C266D">
              <w:t xml:space="preserve"> by the courts relating to property in other Member States. </w:t>
            </w:r>
          </w:p>
          <w:p w:rsidR="00C70009" w:rsidRPr="002C266D" w:rsidRDefault="00C70009" w:rsidP="00805575">
            <w:pPr>
              <w:spacing w:line="240" w:lineRule="auto"/>
            </w:pPr>
            <w:r w:rsidRPr="002C266D">
              <w:t xml:space="preserve">2) In relation to orders </w:t>
            </w:r>
            <w:r w:rsidRPr="002C266D">
              <w:rPr>
                <w:b/>
                <w:bCs/>
              </w:rPr>
              <w:t>made by Member States</w:t>
            </w:r>
            <w:r w:rsidRPr="002C266D">
              <w:t xml:space="preserve"> relating to property in the United Kingdom, a list </w:t>
            </w:r>
            <w:r w:rsidR="00805575" w:rsidRPr="002C266D">
              <w:t xml:space="preserve">of </w:t>
            </w:r>
            <w:r w:rsidRPr="002C266D">
              <w:t>competent authorities</w:t>
            </w:r>
            <w:r w:rsidR="00805575" w:rsidRPr="002C266D">
              <w:t xml:space="preserve"> is provided</w:t>
            </w:r>
            <w:r w:rsidRPr="002C266D">
              <w:t>: (see doc. 6637/15 COPEN 66 EUROJUST 58 EJN 25).</w:t>
            </w:r>
          </w:p>
        </w:tc>
        <w:tc>
          <w:tcPr>
            <w:tcW w:w="949" w:type="pct"/>
          </w:tcPr>
          <w:p w:rsidR="00C70009" w:rsidRPr="002C266D" w:rsidRDefault="00C70009" w:rsidP="000C635F">
            <w:pPr>
              <w:spacing w:line="240" w:lineRule="auto"/>
            </w:pPr>
          </w:p>
        </w:tc>
        <w:tc>
          <w:tcPr>
            <w:tcW w:w="812" w:type="pct"/>
          </w:tcPr>
          <w:p w:rsidR="00BF556B" w:rsidRDefault="00C70009" w:rsidP="00BF556B">
            <w:pPr>
              <w:spacing w:line="240" w:lineRule="auto"/>
            </w:pPr>
            <w:r w:rsidRPr="002C266D">
              <w:t>English;</w:t>
            </w:r>
          </w:p>
          <w:p w:rsidR="00C70009" w:rsidRPr="002C266D" w:rsidRDefault="00C70009" w:rsidP="00BF556B">
            <w:pPr>
              <w:spacing w:line="240" w:lineRule="auto"/>
            </w:pPr>
            <w:r w:rsidRPr="002C266D">
              <w:t xml:space="preserve">or </w:t>
            </w:r>
            <w:r w:rsidR="00805575" w:rsidRPr="002C266D">
              <w:t xml:space="preserve">requests </w:t>
            </w:r>
            <w:r w:rsidRPr="002C266D">
              <w:t>accompanied by a certified English translation</w:t>
            </w:r>
          </w:p>
        </w:tc>
        <w:tc>
          <w:tcPr>
            <w:tcW w:w="812" w:type="pct"/>
          </w:tcPr>
          <w:p w:rsidR="00C70009" w:rsidRPr="002C266D" w:rsidRDefault="00B86FBE" w:rsidP="00073206">
            <w:pPr>
              <w:spacing w:line="240" w:lineRule="auto"/>
            </w:pPr>
            <w:r w:rsidRPr="002C266D">
              <w:t>(see doc. 6637/15 COPEN 66 EUROJUST 58 EJN 25)</w:t>
            </w:r>
          </w:p>
        </w:tc>
      </w:tr>
    </w:tbl>
    <w:p w:rsidR="008A1DBD" w:rsidRDefault="008A1DBD" w:rsidP="008A1DBD"/>
    <w:p w:rsidR="00D76F07" w:rsidRPr="00D76F07" w:rsidRDefault="00D76F07" w:rsidP="00D76F07">
      <w:pPr>
        <w:widowControl w:val="0"/>
        <w:spacing w:before="0" w:after="0" w:line="240" w:lineRule="auto"/>
        <w:jc w:val="center"/>
        <w:rPr>
          <w:szCs w:val="20"/>
          <w:lang w:eastAsia="fr-BE"/>
        </w:rPr>
      </w:pPr>
    </w:p>
    <w:p w:rsidR="006266A0" w:rsidRPr="006266A0" w:rsidRDefault="006266A0" w:rsidP="006266A0">
      <w:pPr>
        <w:jc w:val="center"/>
      </w:pPr>
      <w:r>
        <w:t>_________________</w:t>
      </w:r>
    </w:p>
    <w:sectPr w:rsidR="006266A0" w:rsidRPr="006266A0" w:rsidSect="00E53C78">
      <w:headerReference w:type="default" r:id="rId12"/>
      <w:footerReference w:type="default" r:id="rId13"/>
      <w:pgSz w:w="16840" w:h="11907"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EB" w:rsidRDefault="00CA76EB" w:rsidP="00D02758">
      <w:pPr>
        <w:spacing w:before="0" w:after="0" w:line="240" w:lineRule="auto"/>
      </w:pPr>
      <w:r>
        <w:separator/>
      </w:r>
    </w:p>
  </w:endnote>
  <w:endnote w:type="continuationSeparator" w:id="0">
    <w:p w:rsidR="00CA76EB" w:rsidRDefault="00CA76EB"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53C78" w:rsidRPr="00D94637" w:rsidTr="00E53C78">
      <w:trPr>
        <w:jc w:val="center"/>
      </w:trPr>
      <w:tc>
        <w:tcPr>
          <w:tcW w:w="5000" w:type="pct"/>
          <w:gridSpan w:val="7"/>
          <w:shd w:val="clear" w:color="auto" w:fill="auto"/>
          <w:tcMar>
            <w:top w:w="57" w:type="dxa"/>
          </w:tcMar>
        </w:tcPr>
        <w:p w:rsidR="00E53C78" w:rsidRPr="00D94637" w:rsidRDefault="00E53C78" w:rsidP="00D94637">
          <w:pPr>
            <w:pStyle w:val="FooterText"/>
            <w:pBdr>
              <w:top w:val="single" w:sz="4" w:space="1" w:color="auto"/>
            </w:pBdr>
            <w:spacing w:before="200"/>
            <w:rPr>
              <w:sz w:val="2"/>
              <w:szCs w:val="2"/>
            </w:rPr>
          </w:pPr>
          <w:bookmarkStart w:id="2" w:name="FOOTER_STANDARD"/>
        </w:p>
      </w:tc>
    </w:tr>
    <w:tr w:rsidR="00E53C78" w:rsidRPr="00B310DC" w:rsidTr="00E53C78">
      <w:trPr>
        <w:jc w:val="center"/>
      </w:trPr>
      <w:tc>
        <w:tcPr>
          <w:tcW w:w="2500" w:type="pct"/>
          <w:gridSpan w:val="2"/>
          <w:shd w:val="clear" w:color="auto" w:fill="auto"/>
          <w:tcMar>
            <w:top w:w="0" w:type="dxa"/>
          </w:tcMar>
        </w:tcPr>
        <w:p w:rsidR="00E53C78" w:rsidRPr="00AD7BF2" w:rsidRDefault="00E53C78" w:rsidP="004F54B2">
          <w:pPr>
            <w:pStyle w:val="FooterText"/>
          </w:pPr>
          <w:r>
            <w:t>7574/1/15</w:t>
          </w:r>
          <w:r w:rsidRPr="002511D8">
            <w:t xml:space="preserve"> </w:t>
          </w:r>
          <w:r>
            <w:t>REV 1</w:t>
          </w:r>
        </w:p>
      </w:tc>
      <w:tc>
        <w:tcPr>
          <w:tcW w:w="625" w:type="pct"/>
          <w:shd w:val="clear" w:color="auto" w:fill="auto"/>
          <w:tcMar>
            <w:top w:w="0" w:type="dxa"/>
          </w:tcMar>
        </w:tcPr>
        <w:p w:rsidR="00E53C78" w:rsidRPr="00AD7BF2" w:rsidRDefault="00E53C78" w:rsidP="00D94637">
          <w:pPr>
            <w:pStyle w:val="FooterText"/>
            <w:jc w:val="center"/>
          </w:pPr>
        </w:p>
      </w:tc>
      <w:tc>
        <w:tcPr>
          <w:tcW w:w="1287" w:type="pct"/>
          <w:gridSpan w:val="3"/>
          <w:shd w:val="clear" w:color="auto" w:fill="auto"/>
          <w:tcMar>
            <w:top w:w="0" w:type="dxa"/>
          </w:tcMar>
        </w:tcPr>
        <w:p w:rsidR="00E53C78" w:rsidRPr="002511D8" w:rsidRDefault="00E53C78" w:rsidP="00D94637">
          <w:pPr>
            <w:pStyle w:val="FooterText"/>
            <w:jc w:val="center"/>
          </w:pPr>
          <w:r>
            <w:t>MP/</w:t>
          </w:r>
          <w:proofErr w:type="spellStart"/>
          <w:r>
            <w:t>mvk</w:t>
          </w:r>
          <w:proofErr w:type="spellEnd"/>
        </w:p>
      </w:tc>
      <w:tc>
        <w:tcPr>
          <w:tcW w:w="588" w:type="pct"/>
          <w:shd w:val="clear" w:color="auto" w:fill="auto"/>
          <w:tcMar>
            <w:top w:w="0" w:type="dxa"/>
          </w:tcMar>
        </w:tcPr>
        <w:p w:rsidR="00E53C78" w:rsidRPr="00B310DC" w:rsidRDefault="00E53C78" w:rsidP="00D94637">
          <w:pPr>
            <w:pStyle w:val="FooterText"/>
            <w:jc w:val="right"/>
          </w:pPr>
          <w:r>
            <w:fldChar w:fldCharType="begin"/>
          </w:r>
          <w:r>
            <w:instrText xml:space="preserve"> PAGE  \* MERGEFORMAT </w:instrText>
          </w:r>
          <w:r>
            <w:fldChar w:fldCharType="separate"/>
          </w:r>
          <w:r>
            <w:rPr>
              <w:noProof/>
            </w:rPr>
            <w:t>2</w:t>
          </w:r>
          <w:r>
            <w:fldChar w:fldCharType="end"/>
          </w:r>
        </w:p>
      </w:tc>
    </w:tr>
    <w:tr w:rsidR="00E53C78" w:rsidRPr="00D94637" w:rsidTr="00E53C78">
      <w:trPr>
        <w:jc w:val="center"/>
      </w:trPr>
      <w:tc>
        <w:tcPr>
          <w:tcW w:w="1774" w:type="pct"/>
          <w:shd w:val="clear" w:color="auto" w:fill="auto"/>
        </w:tcPr>
        <w:p w:rsidR="00E53C78" w:rsidRPr="00AD7BF2" w:rsidRDefault="00E53C78" w:rsidP="00D94637">
          <w:pPr>
            <w:pStyle w:val="FooterText"/>
            <w:spacing w:before="40"/>
          </w:pPr>
        </w:p>
      </w:tc>
      <w:tc>
        <w:tcPr>
          <w:tcW w:w="1455" w:type="pct"/>
          <w:gridSpan w:val="3"/>
          <w:shd w:val="clear" w:color="auto" w:fill="auto"/>
        </w:tcPr>
        <w:p w:rsidR="00E53C78" w:rsidRPr="00AD7BF2" w:rsidRDefault="00E53C78" w:rsidP="00D204D6">
          <w:pPr>
            <w:pStyle w:val="FooterText"/>
            <w:spacing w:before="40"/>
            <w:jc w:val="center"/>
          </w:pPr>
          <w:r>
            <w:t>DG D 2B</w:t>
          </w:r>
        </w:p>
      </w:tc>
      <w:tc>
        <w:tcPr>
          <w:tcW w:w="1147" w:type="pct"/>
          <w:shd w:val="clear" w:color="auto" w:fill="auto"/>
        </w:tcPr>
        <w:p w:rsidR="00E53C78" w:rsidRPr="00D94637" w:rsidRDefault="00E53C78" w:rsidP="00D94637">
          <w:pPr>
            <w:pStyle w:val="FooterText"/>
            <w:jc w:val="right"/>
            <w:rPr>
              <w:b/>
              <w:position w:val="-4"/>
              <w:sz w:val="36"/>
            </w:rPr>
          </w:pPr>
        </w:p>
      </w:tc>
      <w:tc>
        <w:tcPr>
          <w:tcW w:w="625" w:type="pct"/>
          <w:gridSpan w:val="2"/>
          <w:shd w:val="clear" w:color="auto" w:fill="auto"/>
        </w:tcPr>
        <w:p w:rsidR="00E53C78" w:rsidRPr="00D94637" w:rsidRDefault="00E53C78" w:rsidP="00D94637">
          <w:pPr>
            <w:pStyle w:val="FooterText"/>
            <w:jc w:val="right"/>
            <w:rPr>
              <w:sz w:val="16"/>
            </w:rPr>
          </w:pPr>
          <w:r>
            <w:rPr>
              <w:b/>
              <w:position w:val="-4"/>
              <w:sz w:val="36"/>
            </w:rPr>
            <w:t>EN</w:t>
          </w:r>
        </w:p>
      </w:tc>
    </w:tr>
    <w:bookmarkEnd w:id="2"/>
  </w:tbl>
  <w:p w:rsidR="009D0F20" w:rsidRPr="00E53C78" w:rsidRDefault="009D0F20" w:rsidP="00E53C78">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53C78" w:rsidRPr="00D94637" w:rsidTr="00E53C78">
      <w:trPr>
        <w:jc w:val="center"/>
      </w:trPr>
      <w:tc>
        <w:tcPr>
          <w:tcW w:w="5000" w:type="pct"/>
          <w:gridSpan w:val="7"/>
          <w:shd w:val="clear" w:color="auto" w:fill="auto"/>
          <w:tcMar>
            <w:top w:w="57" w:type="dxa"/>
          </w:tcMar>
        </w:tcPr>
        <w:p w:rsidR="00E53C78" w:rsidRPr="00D94637" w:rsidRDefault="00E53C78" w:rsidP="00D94637">
          <w:pPr>
            <w:pStyle w:val="FooterText"/>
            <w:pBdr>
              <w:top w:val="single" w:sz="4" w:space="1" w:color="auto"/>
            </w:pBdr>
            <w:spacing w:before="200"/>
            <w:rPr>
              <w:sz w:val="2"/>
              <w:szCs w:val="2"/>
            </w:rPr>
          </w:pPr>
        </w:p>
      </w:tc>
    </w:tr>
    <w:tr w:rsidR="00E53C78" w:rsidRPr="00B310DC" w:rsidTr="00E53C78">
      <w:trPr>
        <w:jc w:val="center"/>
      </w:trPr>
      <w:tc>
        <w:tcPr>
          <w:tcW w:w="2500" w:type="pct"/>
          <w:gridSpan w:val="2"/>
          <w:shd w:val="clear" w:color="auto" w:fill="auto"/>
          <w:tcMar>
            <w:top w:w="0" w:type="dxa"/>
          </w:tcMar>
        </w:tcPr>
        <w:p w:rsidR="00E53C78" w:rsidRPr="00AD7BF2" w:rsidRDefault="00E53C78" w:rsidP="004F54B2">
          <w:pPr>
            <w:pStyle w:val="FooterText"/>
          </w:pPr>
          <w:r>
            <w:t>7574/1/15</w:t>
          </w:r>
          <w:r w:rsidRPr="002511D8">
            <w:t xml:space="preserve"> </w:t>
          </w:r>
          <w:r>
            <w:t>REV 1</w:t>
          </w:r>
        </w:p>
      </w:tc>
      <w:tc>
        <w:tcPr>
          <w:tcW w:w="625" w:type="pct"/>
          <w:shd w:val="clear" w:color="auto" w:fill="auto"/>
          <w:tcMar>
            <w:top w:w="0" w:type="dxa"/>
          </w:tcMar>
        </w:tcPr>
        <w:p w:rsidR="00E53C78" w:rsidRPr="00AD7BF2" w:rsidRDefault="00E53C78" w:rsidP="00D94637">
          <w:pPr>
            <w:pStyle w:val="FooterText"/>
            <w:jc w:val="center"/>
          </w:pPr>
        </w:p>
      </w:tc>
      <w:tc>
        <w:tcPr>
          <w:tcW w:w="1287" w:type="pct"/>
          <w:gridSpan w:val="3"/>
          <w:shd w:val="clear" w:color="auto" w:fill="auto"/>
          <w:tcMar>
            <w:top w:w="0" w:type="dxa"/>
          </w:tcMar>
        </w:tcPr>
        <w:p w:rsidR="00E53C78" w:rsidRPr="002511D8" w:rsidRDefault="00E53C78" w:rsidP="00D94637">
          <w:pPr>
            <w:pStyle w:val="FooterText"/>
            <w:jc w:val="center"/>
          </w:pPr>
          <w:r>
            <w:t>MP/</w:t>
          </w:r>
          <w:proofErr w:type="spellStart"/>
          <w:r>
            <w:t>mvk</w:t>
          </w:r>
          <w:proofErr w:type="spellEnd"/>
        </w:p>
      </w:tc>
      <w:tc>
        <w:tcPr>
          <w:tcW w:w="588" w:type="pct"/>
          <w:shd w:val="clear" w:color="auto" w:fill="auto"/>
          <w:tcMar>
            <w:top w:w="0" w:type="dxa"/>
          </w:tcMar>
        </w:tcPr>
        <w:p w:rsidR="00E53C78" w:rsidRPr="00B310DC" w:rsidRDefault="00E53C78" w:rsidP="00D94637">
          <w:pPr>
            <w:pStyle w:val="FooterText"/>
            <w:jc w:val="right"/>
          </w:pPr>
          <w:r>
            <w:fldChar w:fldCharType="begin"/>
          </w:r>
          <w:r>
            <w:instrText xml:space="preserve"> PAGE  \* MERGEFORMAT </w:instrText>
          </w:r>
          <w:r>
            <w:fldChar w:fldCharType="separate"/>
          </w:r>
          <w:r w:rsidR="00170F32">
            <w:rPr>
              <w:noProof/>
            </w:rPr>
            <w:t>1</w:t>
          </w:r>
          <w:r>
            <w:fldChar w:fldCharType="end"/>
          </w:r>
        </w:p>
      </w:tc>
    </w:tr>
    <w:tr w:rsidR="00E53C78" w:rsidRPr="00D94637" w:rsidTr="00E53C78">
      <w:trPr>
        <w:jc w:val="center"/>
      </w:trPr>
      <w:tc>
        <w:tcPr>
          <w:tcW w:w="1774" w:type="pct"/>
          <w:shd w:val="clear" w:color="auto" w:fill="auto"/>
        </w:tcPr>
        <w:p w:rsidR="00E53C78" w:rsidRPr="00AD7BF2" w:rsidRDefault="00E53C78" w:rsidP="00D94637">
          <w:pPr>
            <w:pStyle w:val="FooterText"/>
            <w:spacing w:before="40"/>
          </w:pPr>
        </w:p>
      </w:tc>
      <w:tc>
        <w:tcPr>
          <w:tcW w:w="1455" w:type="pct"/>
          <w:gridSpan w:val="3"/>
          <w:shd w:val="clear" w:color="auto" w:fill="auto"/>
        </w:tcPr>
        <w:p w:rsidR="00E53C78" w:rsidRPr="00AD7BF2" w:rsidRDefault="00E53C78" w:rsidP="00D204D6">
          <w:pPr>
            <w:pStyle w:val="FooterText"/>
            <w:spacing w:before="40"/>
            <w:jc w:val="center"/>
          </w:pPr>
          <w:r>
            <w:t>DG D 2B</w:t>
          </w:r>
        </w:p>
      </w:tc>
      <w:tc>
        <w:tcPr>
          <w:tcW w:w="1147" w:type="pct"/>
          <w:shd w:val="clear" w:color="auto" w:fill="auto"/>
        </w:tcPr>
        <w:p w:rsidR="00E53C78" w:rsidRPr="00D94637" w:rsidRDefault="00E53C78" w:rsidP="00D94637">
          <w:pPr>
            <w:pStyle w:val="FooterText"/>
            <w:jc w:val="right"/>
            <w:rPr>
              <w:b/>
              <w:position w:val="-4"/>
              <w:sz w:val="36"/>
            </w:rPr>
          </w:pPr>
        </w:p>
      </w:tc>
      <w:tc>
        <w:tcPr>
          <w:tcW w:w="625" w:type="pct"/>
          <w:gridSpan w:val="2"/>
          <w:shd w:val="clear" w:color="auto" w:fill="auto"/>
        </w:tcPr>
        <w:p w:rsidR="00E53C78" w:rsidRPr="00D94637" w:rsidRDefault="00E53C78" w:rsidP="00D94637">
          <w:pPr>
            <w:pStyle w:val="FooterText"/>
            <w:jc w:val="right"/>
            <w:rPr>
              <w:sz w:val="16"/>
            </w:rPr>
          </w:pPr>
          <w:r>
            <w:rPr>
              <w:b/>
              <w:position w:val="-4"/>
              <w:sz w:val="36"/>
            </w:rPr>
            <w:t>EN</w:t>
          </w:r>
        </w:p>
      </w:tc>
    </w:tr>
  </w:tbl>
  <w:p w:rsidR="000F7619" w:rsidRPr="00E53C78" w:rsidRDefault="000F7619" w:rsidP="00E53C7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69"/>
      <w:gridCol w:w="2116"/>
      <w:gridCol w:w="1822"/>
      <w:gridCol w:w="303"/>
      <w:gridCol w:w="3343"/>
      <w:gridCol w:w="105"/>
      <w:gridCol w:w="1714"/>
    </w:tblGrid>
    <w:tr w:rsidR="00E53C78" w:rsidRPr="00D94637" w:rsidTr="00E53C78">
      <w:trPr>
        <w:jc w:val="center"/>
      </w:trPr>
      <w:tc>
        <w:tcPr>
          <w:tcW w:w="5000" w:type="pct"/>
          <w:gridSpan w:val="7"/>
          <w:shd w:val="clear" w:color="auto" w:fill="auto"/>
          <w:tcMar>
            <w:top w:w="57" w:type="dxa"/>
          </w:tcMar>
        </w:tcPr>
        <w:p w:rsidR="00E53C78" w:rsidRPr="00D94637" w:rsidRDefault="00E53C78" w:rsidP="00D94637">
          <w:pPr>
            <w:pStyle w:val="FooterText"/>
            <w:pBdr>
              <w:top w:val="single" w:sz="4" w:space="1" w:color="auto"/>
            </w:pBdr>
            <w:spacing w:before="200"/>
            <w:rPr>
              <w:sz w:val="2"/>
              <w:szCs w:val="2"/>
            </w:rPr>
          </w:pPr>
        </w:p>
      </w:tc>
    </w:tr>
    <w:tr w:rsidR="00E53C78" w:rsidRPr="00B310DC" w:rsidTr="00E53C78">
      <w:trPr>
        <w:jc w:val="center"/>
      </w:trPr>
      <w:tc>
        <w:tcPr>
          <w:tcW w:w="2500" w:type="pct"/>
          <w:gridSpan w:val="2"/>
          <w:shd w:val="clear" w:color="auto" w:fill="auto"/>
          <w:tcMar>
            <w:top w:w="0" w:type="dxa"/>
          </w:tcMar>
        </w:tcPr>
        <w:p w:rsidR="00E53C78" w:rsidRPr="00AD7BF2" w:rsidRDefault="00E53C78" w:rsidP="004F54B2">
          <w:pPr>
            <w:pStyle w:val="FooterText"/>
          </w:pPr>
          <w:r>
            <w:t>7574/1/15</w:t>
          </w:r>
          <w:r w:rsidRPr="002511D8">
            <w:t xml:space="preserve"> </w:t>
          </w:r>
          <w:r>
            <w:t>REV 1</w:t>
          </w:r>
        </w:p>
      </w:tc>
      <w:tc>
        <w:tcPr>
          <w:tcW w:w="625" w:type="pct"/>
          <w:shd w:val="clear" w:color="auto" w:fill="auto"/>
          <w:tcMar>
            <w:top w:w="0" w:type="dxa"/>
          </w:tcMar>
        </w:tcPr>
        <w:p w:rsidR="00E53C78" w:rsidRPr="00AD7BF2" w:rsidRDefault="00E53C78" w:rsidP="00D94637">
          <w:pPr>
            <w:pStyle w:val="FooterText"/>
            <w:jc w:val="center"/>
          </w:pPr>
        </w:p>
      </w:tc>
      <w:tc>
        <w:tcPr>
          <w:tcW w:w="1287" w:type="pct"/>
          <w:gridSpan w:val="3"/>
          <w:shd w:val="clear" w:color="auto" w:fill="auto"/>
          <w:tcMar>
            <w:top w:w="0" w:type="dxa"/>
          </w:tcMar>
        </w:tcPr>
        <w:p w:rsidR="00E53C78" w:rsidRPr="002511D8" w:rsidRDefault="00E53C78" w:rsidP="00D94637">
          <w:pPr>
            <w:pStyle w:val="FooterText"/>
            <w:jc w:val="center"/>
          </w:pPr>
          <w:r>
            <w:t>MP/</w:t>
          </w:r>
          <w:proofErr w:type="spellStart"/>
          <w:r>
            <w:t>mvk</w:t>
          </w:r>
          <w:proofErr w:type="spellEnd"/>
        </w:p>
      </w:tc>
      <w:tc>
        <w:tcPr>
          <w:tcW w:w="588" w:type="pct"/>
          <w:shd w:val="clear" w:color="auto" w:fill="auto"/>
          <w:tcMar>
            <w:top w:w="0" w:type="dxa"/>
          </w:tcMar>
        </w:tcPr>
        <w:p w:rsidR="00E53C78" w:rsidRPr="00B310DC" w:rsidRDefault="00E53C78" w:rsidP="00D94637">
          <w:pPr>
            <w:pStyle w:val="FooterText"/>
            <w:jc w:val="right"/>
          </w:pPr>
          <w:r>
            <w:fldChar w:fldCharType="begin"/>
          </w:r>
          <w:r>
            <w:instrText xml:space="preserve"> PAGE  \* MERGEFORMAT </w:instrText>
          </w:r>
          <w:r>
            <w:fldChar w:fldCharType="separate"/>
          </w:r>
          <w:r w:rsidR="00170F32">
            <w:rPr>
              <w:noProof/>
            </w:rPr>
            <w:t>28</w:t>
          </w:r>
          <w:r>
            <w:fldChar w:fldCharType="end"/>
          </w:r>
        </w:p>
      </w:tc>
    </w:tr>
    <w:tr w:rsidR="00E53C78" w:rsidRPr="00D94637" w:rsidTr="00E53C78">
      <w:trPr>
        <w:jc w:val="center"/>
      </w:trPr>
      <w:tc>
        <w:tcPr>
          <w:tcW w:w="1774" w:type="pct"/>
          <w:shd w:val="clear" w:color="auto" w:fill="auto"/>
        </w:tcPr>
        <w:p w:rsidR="00E53C78" w:rsidRPr="00AD7BF2" w:rsidRDefault="00E53C78" w:rsidP="00D94637">
          <w:pPr>
            <w:pStyle w:val="FooterText"/>
            <w:spacing w:before="40"/>
          </w:pPr>
          <w:r>
            <w:t>ANNEX</w:t>
          </w:r>
        </w:p>
      </w:tc>
      <w:tc>
        <w:tcPr>
          <w:tcW w:w="1455" w:type="pct"/>
          <w:gridSpan w:val="3"/>
          <w:shd w:val="clear" w:color="auto" w:fill="auto"/>
        </w:tcPr>
        <w:p w:rsidR="00E53C78" w:rsidRPr="00AD7BF2" w:rsidRDefault="00E53C78" w:rsidP="00D204D6">
          <w:pPr>
            <w:pStyle w:val="FooterText"/>
            <w:spacing w:before="40"/>
            <w:jc w:val="center"/>
          </w:pPr>
          <w:r>
            <w:t>DG D 2B</w:t>
          </w:r>
        </w:p>
      </w:tc>
      <w:tc>
        <w:tcPr>
          <w:tcW w:w="1147" w:type="pct"/>
          <w:shd w:val="clear" w:color="auto" w:fill="auto"/>
        </w:tcPr>
        <w:p w:rsidR="00E53C78" w:rsidRPr="00D94637" w:rsidRDefault="00E53C78" w:rsidP="00D94637">
          <w:pPr>
            <w:pStyle w:val="FooterText"/>
            <w:jc w:val="right"/>
            <w:rPr>
              <w:b/>
              <w:position w:val="-4"/>
              <w:sz w:val="36"/>
            </w:rPr>
          </w:pPr>
        </w:p>
      </w:tc>
      <w:tc>
        <w:tcPr>
          <w:tcW w:w="625" w:type="pct"/>
          <w:gridSpan w:val="2"/>
          <w:shd w:val="clear" w:color="auto" w:fill="auto"/>
        </w:tcPr>
        <w:p w:rsidR="00E53C78" w:rsidRPr="00D94637" w:rsidRDefault="00E53C78" w:rsidP="00D94637">
          <w:pPr>
            <w:pStyle w:val="FooterText"/>
            <w:jc w:val="right"/>
            <w:rPr>
              <w:sz w:val="16"/>
            </w:rPr>
          </w:pPr>
          <w:r>
            <w:rPr>
              <w:b/>
              <w:position w:val="-4"/>
              <w:sz w:val="36"/>
            </w:rPr>
            <w:t>EN</w:t>
          </w:r>
        </w:p>
      </w:tc>
    </w:tr>
  </w:tbl>
  <w:p w:rsidR="00D04202" w:rsidRPr="00E53C78" w:rsidRDefault="00D04202" w:rsidP="00E53C7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EB" w:rsidRDefault="00CA76EB" w:rsidP="00D02758">
      <w:pPr>
        <w:spacing w:before="0" w:after="0" w:line="240" w:lineRule="auto"/>
      </w:pPr>
      <w:r>
        <w:separator/>
      </w:r>
    </w:p>
  </w:footnote>
  <w:footnote w:type="continuationSeparator" w:id="0">
    <w:p w:rsidR="00CA76EB" w:rsidRDefault="00CA76EB"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Pr="00E53C78" w:rsidRDefault="00D04202" w:rsidP="00E53C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7A14D2"/>
    <w:multiLevelType w:val="multilevel"/>
    <w:tmpl w:val="FBC2D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4">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6">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8">
    <w:nsid w:val="30237861"/>
    <w:multiLevelType w:val="hybridMultilevel"/>
    <w:tmpl w:val="FDE877EE"/>
    <w:lvl w:ilvl="0" w:tplc="EE62A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3B1725D7"/>
    <w:multiLevelType w:val="multilevel"/>
    <w:tmpl w:val="E1ECC13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8">
    <w:nsid w:val="5D8D3122"/>
    <w:multiLevelType w:val="multilevel"/>
    <w:tmpl w:val="35B0EFC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1">
    <w:nsid w:val="68C05131"/>
    <w:multiLevelType w:val="multilevel"/>
    <w:tmpl w:val="20B66A0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4">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5">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0"/>
  </w:num>
  <w:num w:numId="2">
    <w:abstractNumId w:val="14"/>
  </w:num>
  <w:num w:numId="3">
    <w:abstractNumId w:val="13"/>
  </w:num>
  <w:num w:numId="4">
    <w:abstractNumId w:val="15"/>
  </w:num>
  <w:num w:numId="5">
    <w:abstractNumId w:val="10"/>
  </w:num>
  <w:num w:numId="6">
    <w:abstractNumId w:val="3"/>
  </w:num>
  <w:num w:numId="7">
    <w:abstractNumId w:val="9"/>
  </w:num>
  <w:num w:numId="8">
    <w:abstractNumId w:val="7"/>
  </w:num>
  <w:num w:numId="9">
    <w:abstractNumId w:val="5"/>
  </w:num>
  <w:num w:numId="10">
    <w:abstractNumId w:val="23"/>
  </w:num>
  <w:num w:numId="11">
    <w:abstractNumId w:val="24"/>
  </w:num>
  <w:num w:numId="12">
    <w:abstractNumId w:val="2"/>
  </w:num>
  <w:num w:numId="13">
    <w:abstractNumId w:val="26"/>
  </w:num>
  <w:num w:numId="14">
    <w:abstractNumId w:val="22"/>
  </w:num>
  <w:num w:numId="15">
    <w:abstractNumId w:val="17"/>
  </w:num>
  <w:num w:numId="16">
    <w:abstractNumId w:val="11"/>
  </w:num>
  <w:num w:numId="17">
    <w:abstractNumId w:val="19"/>
  </w:num>
  <w:num w:numId="18">
    <w:abstractNumId w:val="4"/>
  </w:num>
  <w:num w:numId="19">
    <w:abstractNumId w:val="25"/>
  </w:num>
  <w:num w:numId="20">
    <w:abstractNumId w:val="6"/>
  </w:num>
  <w:num w:numId="21">
    <w:abstractNumId w:val="8"/>
  </w:num>
  <w:num w:numId="22">
    <w:abstractNumId w:val="1"/>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3&quot; technicalblockguid=&quot;dbd833eb-8e27-4aab-905c-e163a3ad793a&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6-03&lt;/text&gt;_x000d__x000a_  &lt;/metadata&gt;_x000d__x000a_  &lt;metadata key=&quot;md_Prefix&quot;&gt;_x000d__x000a_    &lt;text&gt;&lt;/text&gt;_x000d__x000a_  &lt;/metadata&gt;_x000d__x000a_  &lt;metadata key=&quot;md_DocumentNumber&quot;&gt;_x000d__x000a_    &lt;text&gt;7574&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81&lt;/text&gt;_x000d__x000a_      &lt;text&gt;EUROJUST 67&lt;/text&gt;_x000d__x000a_      &lt;text&gt;EJN 2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9500/14 COPEN 138 EUROJUST 51 EJN 91&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the Framework Decision 2006/783/JHA of the Council of the European Union of 6 October 2006 on the application of the principle of mutual recognition to confiscation orders -      Information provided to the General Secretariat&quot;&gt;&amp;lt;FlowDocument FontFamily=&quot;Arial Unicode MS&quot; FontSize=&quot;12&quot; PageWidth=&quot;329&quot; PagePadding=&quot;5,0,5,0&quot; AllowDrop=&quot;False&quot; NumberSubstitution.CultureSource=&quot;User&quot; xmlns=&quot;http://schemas.microsoft.com/winfx/2006/xaml/presentation&quot; xmlns:x=&quot;http://schemas.microsoft.com/winfx/2006/xaml&quot;&amp;gt;&amp;lt;Paragraph&amp;gt;&amp;lt;Run xml:lang=&quot;fr-be&quot;&amp;gt;Implementation of the Framework Decision 2006/783/JHA of the Council of the European Union of 6 October 2006 on the application of the principle of mutual recognition to confiscation orders&amp;lt;/Run&amp;gt;&amp;lt;/Paragraph&amp;gt;&amp;lt;Paragraph&amp;gt;&amp;lt;Run xml:lang=&quot;fr-be&quot; xml:space=&quot;preserve&quot;&amp;gt;- &amp;lt;/Run&amp;gt;&amp;lt;Run xml:lang=&quot;en-gb&quot; xml:space=&quot;preserve&quot;&amp;gt;     &amp;lt;/Run&amp;gt;&amp;lt;Run xml:lang=&quot;fr-be&quot;&amp;gt;Information provided to the General Secretariat&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D02758"/>
    <w:rsid w:val="000032BA"/>
    <w:rsid w:val="00004DF2"/>
    <w:rsid w:val="0001424F"/>
    <w:rsid w:val="00016774"/>
    <w:rsid w:val="0005237E"/>
    <w:rsid w:val="000545E1"/>
    <w:rsid w:val="00071F5F"/>
    <w:rsid w:val="000737B9"/>
    <w:rsid w:val="00092AFD"/>
    <w:rsid w:val="000A5181"/>
    <w:rsid w:val="000B1311"/>
    <w:rsid w:val="000B69C5"/>
    <w:rsid w:val="000D4545"/>
    <w:rsid w:val="000E7F3A"/>
    <w:rsid w:val="000F3208"/>
    <w:rsid w:val="000F7619"/>
    <w:rsid w:val="0011248E"/>
    <w:rsid w:val="001259EC"/>
    <w:rsid w:val="001427DB"/>
    <w:rsid w:val="001505FB"/>
    <w:rsid w:val="00170F32"/>
    <w:rsid w:val="00182F2F"/>
    <w:rsid w:val="001857B3"/>
    <w:rsid w:val="001B0486"/>
    <w:rsid w:val="001F292E"/>
    <w:rsid w:val="001F4D75"/>
    <w:rsid w:val="001F6926"/>
    <w:rsid w:val="0020032B"/>
    <w:rsid w:val="002070D5"/>
    <w:rsid w:val="00210C7E"/>
    <w:rsid w:val="00217FBC"/>
    <w:rsid w:val="00224174"/>
    <w:rsid w:val="00247A9D"/>
    <w:rsid w:val="00262256"/>
    <w:rsid w:val="00275983"/>
    <w:rsid w:val="002861A9"/>
    <w:rsid w:val="002B3E80"/>
    <w:rsid w:val="002C266D"/>
    <w:rsid w:val="002C415E"/>
    <w:rsid w:val="002D15FF"/>
    <w:rsid w:val="002D7077"/>
    <w:rsid w:val="002E6992"/>
    <w:rsid w:val="00337ECE"/>
    <w:rsid w:val="00356F5F"/>
    <w:rsid w:val="00373C69"/>
    <w:rsid w:val="00374DE5"/>
    <w:rsid w:val="00390381"/>
    <w:rsid w:val="003928EB"/>
    <w:rsid w:val="003B3237"/>
    <w:rsid w:val="003E71F7"/>
    <w:rsid w:val="003F79C0"/>
    <w:rsid w:val="00414945"/>
    <w:rsid w:val="004366A6"/>
    <w:rsid w:val="004404FB"/>
    <w:rsid w:val="00446DAC"/>
    <w:rsid w:val="00460BB9"/>
    <w:rsid w:val="00473C67"/>
    <w:rsid w:val="00494671"/>
    <w:rsid w:val="00496AAD"/>
    <w:rsid w:val="004C05AE"/>
    <w:rsid w:val="005313E8"/>
    <w:rsid w:val="0054593D"/>
    <w:rsid w:val="00547E1A"/>
    <w:rsid w:val="00583F14"/>
    <w:rsid w:val="005910F4"/>
    <w:rsid w:val="005A3788"/>
    <w:rsid w:val="005A6805"/>
    <w:rsid w:val="005A6FA9"/>
    <w:rsid w:val="005B03BD"/>
    <w:rsid w:val="005C0DFD"/>
    <w:rsid w:val="005C47AD"/>
    <w:rsid w:val="005D5678"/>
    <w:rsid w:val="005D6614"/>
    <w:rsid w:val="005E6796"/>
    <w:rsid w:val="00604464"/>
    <w:rsid w:val="006136B8"/>
    <w:rsid w:val="006154E1"/>
    <w:rsid w:val="00625999"/>
    <w:rsid w:val="006266A0"/>
    <w:rsid w:val="006351BB"/>
    <w:rsid w:val="00651D90"/>
    <w:rsid w:val="006564E9"/>
    <w:rsid w:val="006708CF"/>
    <w:rsid w:val="006715CA"/>
    <w:rsid w:val="00677673"/>
    <w:rsid w:val="00682382"/>
    <w:rsid w:val="006862EC"/>
    <w:rsid w:val="0069117F"/>
    <w:rsid w:val="006924F1"/>
    <w:rsid w:val="006C1F2A"/>
    <w:rsid w:val="00701E7B"/>
    <w:rsid w:val="00713852"/>
    <w:rsid w:val="007161AD"/>
    <w:rsid w:val="00740C1D"/>
    <w:rsid w:val="00745CC2"/>
    <w:rsid w:val="00771EA4"/>
    <w:rsid w:val="007A59A3"/>
    <w:rsid w:val="007B00FC"/>
    <w:rsid w:val="007B0C89"/>
    <w:rsid w:val="007C0F57"/>
    <w:rsid w:val="007D6EF4"/>
    <w:rsid w:val="007E494C"/>
    <w:rsid w:val="00805575"/>
    <w:rsid w:val="00813F9F"/>
    <w:rsid w:val="0081560B"/>
    <w:rsid w:val="008314C1"/>
    <w:rsid w:val="00841D15"/>
    <w:rsid w:val="00843572"/>
    <w:rsid w:val="00862619"/>
    <w:rsid w:val="00867334"/>
    <w:rsid w:val="00897848"/>
    <w:rsid w:val="008A1DBD"/>
    <w:rsid w:val="008A33CC"/>
    <w:rsid w:val="008A3E9C"/>
    <w:rsid w:val="008F03A7"/>
    <w:rsid w:val="00901450"/>
    <w:rsid w:val="00945570"/>
    <w:rsid w:val="00961EF2"/>
    <w:rsid w:val="00972D80"/>
    <w:rsid w:val="00983182"/>
    <w:rsid w:val="00994B62"/>
    <w:rsid w:val="009A458F"/>
    <w:rsid w:val="009B07D1"/>
    <w:rsid w:val="009B088B"/>
    <w:rsid w:val="009D0F20"/>
    <w:rsid w:val="009D408B"/>
    <w:rsid w:val="009F7544"/>
    <w:rsid w:val="00A03EF2"/>
    <w:rsid w:val="00A1122D"/>
    <w:rsid w:val="00A211AA"/>
    <w:rsid w:val="00A26F47"/>
    <w:rsid w:val="00A30641"/>
    <w:rsid w:val="00A36267"/>
    <w:rsid w:val="00A55D7E"/>
    <w:rsid w:val="00A60887"/>
    <w:rsid w:val="00A614C8"/>
    <w:rsid w:val="00A74AD4"/>
    <w:rsid w:val="00A93B60"/>
    <w:rsid w:val="00A94ECD"/>
    <w:rsid w:val="00AA3981"/>
    <w:rsid w:val="00AB16D0"/>
    <w:rsid w:val="00AC29EA"/>
    <w:rsid w:val="00AC5F0E"/>
    <w:rsid w:val="00AD3E63"/>
    <w:rsid w:val="00AD572D"/>
    <w:rsid w:val="00AF3113"/>
    <w:rsid w:val="00B0406D"/>
    <w:rsid w:val="00B06F89"/>
    <w:rsid w:val="00B12A90"/>
    <w:rsid w:val="00B42700"/>
    <w:rsid w:val="00B46A57"/>
    <w:rsid w:val="00B54F86"/>
    <w:rsid w:val="00B75C23"/>
    <w:rsid w:val="00B849C4"/>
    <w:rsid w:val="00B86FBE"/>
    <w:rsid w:val="00BA5312"/>
    <w:rsid w:val="00BE21E8"/>
    <w:rsid w:val="00BE6E3D"/>
    <w:rsid w:val="00BF556B"/>
    <w:rsid w:val="00C3266C"/>
    <w:rsid w:val="00C70009"/>
    <w:rsid w:val="00C76881"/>
    <w:rsid w:val="00C80F36"/>
    <w:rsid w:val="00C82E40"/>
    <w:rsid w:val="00C83F95"/>
    <w:rsid w:val="00CA76EB"/>
    <w:rsid w:val="00CD3CD3"/>
    <w:rsid w:val="00CF5C35"/>
    <w:rsid w:val="00D02758"/>
    <w:rsid w:val="00D04202"/>
    <w:rsid w:val="00D13316"/>
    <w:rsid w:val="00D1377E"/>
    <w:rsid w:val="00D17792"/>
    <w:rsid w:val="00D2455B"/>
    <w:rsid w:val="00D272D6"/>
    <w:rsid w:val="00D33F1B"/>
    <w:rsid w:val="00D50081"/>
    <w:rsid w:val="00D53096"/>
    <w:rsid w:val="00D72671"/>
    <w:rsid w:val="00D74EE2"/>
    <w:rsid w:val="00D76F07"/>
    <w:rsid w:val="00D80C16"/>
    <w:rsid w:val="00D92963"/>
    <w:rsid w:val="00D96886"/>
    <w:rsid w:val="00DB22B6"/>
    <w:rsid w:val="00DE012A"/>
    <w:rsid w:val="00DE6316"/>
    <w:rsid w:val="00E0043F"/>
    <w:rsid w:val="00E016FE"/>
    <w:rsid w:val="00E454E3"/>
    <w:rsid w:val="00E46B8E"/>
    <w:rsid w:val="00E53C78"/>
    <w:rsid w:val="00E5767B"/>
    <w:rsid w:val="00E71C96"/>
    <w:rsid w:val="00E76E7B"/>
    <w:rsid w:val="00E81853"/>
    <w:rsid w:val="00E865FE"/>
    <w:rsid w:val="00E91A85"/>
    <w:rsid w:val="00EA5B99"/>
    <w:rsid w:val="00EB4F2D"/>
    <w:rsid w:val="00EC77E0"/>
    <w:rsid w:val="00F1626D"/>
    <w:rsid w:val="00F20A2A"/>
    <w:rsid w:val="00F562C3"/>
    <w:rsid w:val="00F56B79"/>
    <w:rsid w:val="00F86DEA"/>
    <w:rsid w:val="00F90E39"/>
    <w:rsid w:val="00F9418B"/>
    <w:rsid w:val="00FA18B3"/>
    <w:rsid w:val="00FA42EE"/>
    <w:rsid w:val="00FB3E54"/>
    <w:rsid w:val="00FB5245"/>
    <w:rsid w:val="00FC1554"/>
    <w:rsid w:val="00FC4670"/>
    <w:rsid w:val="00FD4DA7"/>
    <w:rsid w:val="00FF3846"/>
    <w:rsid w:val="00FF43E1"/>
    <w:rsid w:val="00FF52A0"/>
    <w:rsid w:val="00FF6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E53C78"/>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EntEmet">
    <w:name w:val="EntEmet"/>
    <w:basedOn w:val="Normalny"/>
    <w:rsid w:val="00247A9D"/>
    <w:pPr>
      <w:widowControl w:val="0"/>
      <w:tabs>
        <w:tab w:val="left" w:pos="284"/>
        <w:tab w:val="left" w:pos="567"/>
        <w:tab w:val="left" w:pos="851"/>
        <w:tab w:val="left" w:pos="1134"/>
        <w:tab w:val="left" w:pos="1418"/>
      </w:tabs>
      <w:spacing w:before="40" w:after="0" w:line="240" w:lineRule="auto"/>
    </w:pPr>
    <w:rPr>
      <w:szCs w:val="20"/>
      <w:lang w:eastAsia="fr-BE"/>
    </w:rPr>
  </w:style>
  <w:style w:type="character" w:styleId="Hipercze">
    <w:name w:val="Hyperlink"/>
    <w:rsid w:val="00247A9D"/>
    <w:rPr>
      <w:color w:val="0000FF"/>
      <w:u w:val="single"/>
    </w:rPr>
  </w:style>
  <w:style w:type="paragraph" w:customStyle="1" w:styleId="ZchnZchn">
    <w:name w:val="Zchn Zchn"/>
    <w:basedOn w:val="Normalny"/>
    <w:rsid w:val="008A1DBD"/>
    <w:pPr>
      <w:spacing w:before="0" w:after="0" w:line="240" w:lineRule="auto"/>
    </w:pPr>
    <w:rPr>
      <w:lang w:val="pl-PL" w:eastAsia="pl-PL"/>
    </w:rPr>
  </w:style>
  <w:style w:type="character" w:customStyle="1" w:styleId="NagwekZnak">
    <w:name w:val="Nagłówek Znak"/>
    <w:link w:val="Nagwek"/>
    <w:rsid w:val="001259EC"/>
    <w:rPr>
      <w:sz w:val="24"/>
      <w:szCs w:val="24"/>
      <w:lang w:eastAsia="en-US"/>
    </w:rPr>
  </w:style>
  <w:style w:type="paragraph" w:styleId="Tekstdymka">
    <w:name w:val="Balloon Text"/>
    <w:basedOn w:val="Normalny"/>
    <w:link w:val="TekstdymkaZnak"/>
    <w:uiPriority w:val="99"/>
    <w:semiHidden/>
    <w:unhideWhenUsed/>
    <w:rsid w:val="005313E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3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E53C78"/>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customStyle="1" w:styleId="EntRefer">
    <w:name w:val="EntRefer"/>
    <w:basedOn w:val="Normalny"/>
    <w:rsid w:val="00D04202"/>
    <w:pPr>
      <w:widowControl w:val="0"/>
      <w:spacing w:before="0" w:after="0" w:line="240" w:lineRule="auto"/>
    </w:pPr>
    <w:rPr>
      <w:b/>
      <w:szCs w:val="20"/>
      <w:lang w:eastAsia="fr-BE"/>
    </w:rPr>
  </w:style>
  <w:style w:type="paragraph" w:customStyle="1" w:styleId="CM4">
    <w:name w:val="CM4"/>
    <w:basedOn w:val="Normalny"/>
    <w:next w:val="Normalny"/>
    <w:rsid w:val="00D04202"/>
    <w:pPr>
      <w:widowControl w:val="0"/>
      <w:autoSpaceDE w:val="0"/>
      <w:autoSpaceDN w:val="0"/>
      <w:adjustRightInd w:val="0"/>
      <w:spacing w:before="0" w:after="0" w:line="240" w:lineRule="auto"/>
    </w:pPr>
    <w:rPr>
      <w:lang w:val="fr-BE" w:eastAsia="fr-BE"/>
    </w:rPr>
  </w:style>
  <w:style w:type="paragraph" w:customStyle="1" w:styleId="EntEmet">
    <w:name w:val="EntEmet"/>
    <w:basedOn w:val="Normalny"/>
    <w:rsid w:val="00247A9D"/>
    <w:pPr>
      <w:widowControl w:val="0"/>
      <w:tabs>
        <w:tab w:val="left" w:pos="284"/>
        <w:tab w:val="left" w:pos="567"/>
        <w:tab w:val="left" w:pos="851"/>
        <w:tab w:val="left" w:pos="1134"/>
        <w:tab w:val="left" w:pos="1418"/>
      </w:tabs>
      <w:spacing w:before="40" w:after="0" w:line="240" w:lineRule="auto"/>
    </w:pPr>
    <w:rPr>
      <w:szCs w:val="20"/>
      <w:lang w:eastAsia="fr-BE"/>
    </w:rPr>
  </w:style>
  <w:style w:type="character" w:styleId="Hipercze">
    <w:name w:val="Hyperlink"/>
    <w:rsid w:val="00247A9D"/>
    <w:rPr>
      <w:color w:val="0000FF"/>
      <w:u w:val="single"/>
    </w:rPr>
  </w:style>
  <w:style w:type="paragraph" w:customStyle="1" w:styleId="ZchnZchn">
    <w:name w:val="Zchn Zchn"/>
    <w:basedOn w:val="Normalny"/>
    <w:rsid w:val="008A1DBD"/>
    <w:pPr>
      <w:spacing w:before="0" w:after="0" w:line="240" w:lineRule="auto"/>
    </w:pPr>
    <w:rPr>
      <w:lang w:val="pl-PL" w:eastAsia="pl-PL"/>
    </w:rPr>
  </w:style>
  <w:style w:type="character" w:customStyle="1" w:styleId="NagwekZnak">
    <w:name w:val="Nagłówek Znak"/>
    <w:link w:val="Nagwek"/>
    <w:rsid w:val="001259EC"/>
    <w:rPr>
      <w:sz w:val="24"/>
      <w:szCs w:val="24"/>
      <w:lang w:eastAsia="en-US"/>
    </w:rPr>
  </w:style>
  <w:style w:type="paragraph" w:styleId="Tekstdymka">
    <w:name w:val="Balloon Text"/>
    <w:basedOn w:val="Normalny"/>
    <w:link w:val="TekstdymkaZnak"/>
    <w:uiPriority w:val="99"/>
    <w:semiHidden/>
    <w:unhideWhenUsed/>
    <w:rsid w:val="005313E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3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999A-A67F-4236-A797-9F2F4DE1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28</Pages>
  <Words>2620</Words>
  <Characters>15723</Characters>
  <Application>Microsoft Office Word</Application>
  <DocSecurity>0</DocSecurity>
  <Lines>131</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2015-06-03T09:55:00Z</cp:lastPrinted>
  <dcterms:created xsi:type="dcterms:W3CDTF">2015-06-26T11:04:00Z</dcterms:created>
  <dcterms:modified xsi:type="dcterms:W3CDTF">2015-06-26T11:04:00Z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3.5.3, Build 20150508</vt:lpwstr>
  </property>
</Properties>
</file>